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E3D7" w14:textId="22627629" w:rsidR="00FB2327" w:rsidRDefault="00C439BC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A8609C" wp14:editId="48EA0613">
            <wp:simplePos x="0" y="0"/>
            <wp:positionH relativeFrom="column">
              <wp:posOffset>5134610</wp:posOffset>
            </wp:positionH>
            <wp:positionV relativeFrom="paragraph">
              <wp:posOffset>15875</wp:posOffset>
            </wp:positionV>
            <wp:extent cx="827405" cy="827405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C29">
        <w:t xml:space="preserve">Kritische Bildanalyse: Fallbeispiel </w:t>
      </w:r>
      <w:r w:rsidR="009E249F">
        <w:t>T</w:t>
      </w:r>
      <w:r w:rsidR="00647C29">
        <w:t>rans</w:t>
      </w:r>
      <w:r w:rsidR="009E249F">
        <w:t>f</w:t>
      </w:r>
      <w:r w:rsidR="00647C29">
        <w:t>eindlichkeit</w:t>
      </w:r>
    </w:p>
    <w:p w14:paraId="652371DD" w14:textId="77777777" w:rsidR="00FB2327" w:rsidRDefault="00451E4A">
      <w:pPr>
        <w:pStyle w:val="berschrift2"/>
      </w:pPr>
      <w:r>
        <w:t>Erarbeitung eines Beispiels zum Thema Hass im Netz</w:t>
      </w:r>
    </w:p>
    <w:tbl>
      <w:tblPr>
        <w:tblStyle w:val="GridTable4-Accent3"/>
        <w:tblW w:w="0" w:type="auto"/>
        <w:tblBorders>
          <w:top w:val="single" w:sz="24" w:space="0" w:color="FFFDE0"/>
          <w:left w:val="single" w:sz="24" w:space="0" w:color="FFFDE0"/>
          <w:bottom w:val="single" w:sz="24" w:space="0" w:color="FFFDE0"/>
          <w:right w:val="single" w:sz="24" w:space="0" w:color="FFFDE0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2693"/>
        <w:gridCol w:w="6662"/>
      </w:tblGrid>
      <w:tr w:rsidR="00647C29" w:rsidRPr="00647C29" w14:paraId="528179E0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DE0"/>
          </w:tcPr>
          <w:p w14:paraId="1BD4256C" w14:textId="77777777" w:rsidR="00FB2327" w:rsidRPr="00647C29" w:rsidRDefault="00451E4A">
            <w:pPr>
              <w:pStyle w:val="KeinLeerraum"/>
              <w:rPr>
                <w:color w:val="auto"/>
              </w:rPr>
            </w:pPr>
            <w:proofErr w:type="spellStart"/>
            <w:r w:rsidRPr="00647C29">
              <w:rPr>
                <w:color w:val="auto"/>
              </w:rPr>
              <w:t>Snippet</w:t>
            </w:r>
            <w:proofErr w:type="spellEnd"/>
            <w:r w:rsidRPr="00647C29">
              <w:rPr>
                <w:color w:val="auto"/>
              </w:rPr>
              <w:t>:</w:t>
            </w:r>
          </w:p>
        </w:tc>
        <w:tc>
          <w:tcPr>
            <w:tcW w:w="6662" w:type="dxa"/>
            <w:shd w:val="clear" w:color="auto" w:fill="FFFDE0"/>
          </w:tcPr>
          <w:p w14:paraId="34AC568F" w14:textId="77777777" w:rsidR="00FB2327" w:rsidRPr="00DB0DF2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proofErr w:type="spellStart"/>
            <w:r w:rsidRPr="00DB0DF2">
              <w:rPr>
                <w:b/>
                <w:bCs/>
                <w:color w:val="auto"/>
              </w:rPr>
              <w:t>trans</w:t>
            </w:r>
            <w:proofErr w:type="spellEnd"/>
            <w:r w:rsidRPr="00DB0DF2">
              <w:rPr>
                <w:b/>
                <w:bCs/>
                <w:color w:val="auto"/>
              </w:rPr>
              <w:t>* Frauen auf öffentlichen Toiletten</w:t>
            </w:r>
          </w:p>
        </w:tc>
      </w:tr>
      <w:tr w:rsidR="00647C29" w:rsidRPr="00647C29" w14:paraId="5452D84E" w14:textId="77777777" w:rsidTr="00C439B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4C2D5C9E" w14:textId="77777777" w:rsidR="00FB2327" w:rsidRPr="00647C29" w:rsidRDefault="00451E4A">
            <w:pPr>
              <w:pStyle w:val="KeinLeerraum"/>
              <w:rPr>
                <w:color w:val="auto"/>
              </w:rPr>
            </w:pPr>
            <w:r w:rsidRPr="00647C29">
              <w:rPr>
                <w:color w:val="auto"/>
              </w:rPr>
              <w:t>Altersstufe:</w:t>
            </w:r>
          </w:p>
        </w:tc>
        <w:tc>
          <w:tcPr>
            <w:tcW w:w="6662" w:type="dxa"/>
          </w:tcPr>
          <w:p w14:paraId="0346F5DD" w14:textId="77777777" w:rsidR="00FB2327" w:rsidRPr="00647C29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C29">
              <w:t>ab Klasse 9 / ab 15 Jahren</w:t>
            </w:r>
          </w:p>
        </w:tc>
      </w:tr>
      <w:tr w:rsidR="00647C29" w:rsidRPr="00647C29" w14:paraId="02AE58B7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DE0"/>
          </w:tcPr>
          <w:p w14:paraId="09410AF3" w14:textId="77777777" w:rsidR="00FB2327" w:rsidRPr="00647C29" w:rsidRDefault="00451E4A">
            <w:pPr>
              <w:pStyle w:val="KeinLeerraum"/>
              <w:rPr>
                <w:color w:val="auto"/>
              </w:rPr>
            </w:pPr>
            <w:r w:rsidRPr="00647C29">
              <w:rPr>
                <w:color w:val="auto"/>
              </w:rPr>
              <w:t>Themen:</w:t>
            </w:r>
          </w:p>
        </w:tc>
        <w:tc>
          <w:tcPr>
            <w:tcW w:w="6662" w:type="dxa"/>
            <w:shd w:val="clear" w:color="auto" w:fill="FFFDE0"/>
          </w:tcPr>
          <w:p w14:paraId="1F4DB1E5" w14:textId="5E0C1FA9" w:rsidR="00FB2327" w:rsidRPr="00647C29" w:rsidRDefault="006A220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Geschlechtervielfalt und </w:t>
            </w:r>
            <w:r w:rsidR="00451E4A" w:rsidRPr="00647C29">
              <w:rPr>
                <w:color w:val="auto"/>
              </w:rPr>
              <w:t xml:space="preserve">Gender, Gruppenbezogene Menschenfeindlichkeit (GMF), </w:t>
            </w:r>
            <w:proofErr w:type="spellStart"/>
            <w:r w:rsidR="00451E4A" w:rsidRPr="00647C29">
              <w:rPr>
                <w:color w:val="auto"/>
              </w:rPr>
              <w:t>Queerfeindlichkeit</w:t>
            </w:r>
            <w:proofErr w:type="spellEnd"/>
            <w:r w:rsidR="00451E4A" w:rsidRPr="00647C29">
              <w:rPr>
                <w:color w:val="auto"/>
              </w:rPr>
              <w:t>, Desinformation, Antisemitismus, Sexualität</w:t>
            </w:r>
          </w:p>
        </w:tc>
      </w:tr>
      <w:tr w:rsidR="00647C29" w:rsidRPr="00647C29" w14:paraId="1D58F601" w14:textId="77777777" w:rsidTr="00C439B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58E12A2" w14:textId="77777777" w:rsidR="00FB2327" w:rsidRPr="00647C29" w:rsidRDefault="00451E4A">
            <w:pPr>
              <w:pStyle w:val="KeinLeerraum"/>
              <w:rPr>
                <w:color w:val="auto"/>
              </w:rPr>
            </w:pPr>
            <w:r w:rsidRPr="00647C29">
              <w:rPr>
                <w:color w:val="auto"/>
              </w:rPr>
              <w:t>Lernziele:</w:t>
            </w:r>
          </w:p>
        </w:tc>
        <w:tc>
          <w:tcPr>
            <w:tcW w:w="6662" w:type="dxa"/>
          </w:tcPr>
          <w:p w14:paraId="666DCCDC" w14:textId="77777777" w:rsidR="00FB2327" w:rsidRPr="00647C29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C29">
              <w:t>Enttarnen von Desinformationen, Dechiffrieren von Hass-Botschaften</w:t>
            </w:r>
          </w:p>
        </w:tc>
      </w:tr>
      <w:tr w:rsidR="00647C29" w:rsidRPr="00647C29" w14:paraId="7F0C7021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DE0"/>
          </w:tcPr>
          <w:p w14:paraId="78E25548" w14:textId="77777777" w:rsidR="00FB2327" w:rsidRPr="00647C29" w:rsidRDefault="00451E4A">
            <w:pPr>
              <w:pStyle w:val="KeinLeerraum"/>
              <w:rPr>
                <w:color w:val="auto"/>
              </w:rPr>
            </w:pPr>
            <w:r w:rsidRPr="00647C29">
              <w:rPr>
                <w:color w:val="auto"/>
              </w:rPr>
              <w:t>Kompetenzebenen:</w:t>
            </w:r>
          </w:p>
        </w:tc>
        <w:tc>
          <w:tcPr>
            <w:tcW w:w="6662" w:type="dxa"/>
            <w:shd w:val="clear" w:color="auto" w:fill="FFFDE0"/>
          </w:tcPr>
          <w:p w14:paraId="1DEEB1F4" w14:textId="77777777" w:rsidR="00FB2327" w:rsidRPr="00647C2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47C29">
              <w:rPr>
                <w:color w:val="auto"/>
              </w:rPr>
              <w:t>Dimension Medienkritik:</w:t>
            </w:r>
          </w:p>
          <w:p w14:paraId="692DAEC9" w14:textId="77777777" w:rsidR="00FB2327" w:rsidRPr="00647C2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47C29">
              <w:rPr>
                <w:color w:val="auto"/>
              </w:rPr>
              <w:t>Stärkung von Informations- und Nachrichtenkompetenz</w:t>
            </w:r>
          </w:p>
          <w:p w14:paraId="18974A5C" w14:textId="77777777" w:rsidR="00FB2327" w:rsidRPr="00647C2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47C29">
              <w:rPr>
                <w:color w:val="auto"/>
              </w:rPr>
              <w:t>Stärkung von Quellenkritik</w:t>
            </w:r>
          </w:p>
        </w:tc>
      </w:tr>
      <w:tr w:rsidR="00647C29" w:rsidRPr="00647C29" w14:paraId="71B0D4BA" w14:textId="77777777" w:rsidTr="00C439B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1B36917C" w14:textId="77777777" w:rsidR="00FB2327" w:rsidRPr="00647C29" w:rsidRDefault="00451E4A">
            <w:pPr>
              <w:pStyle w:val="KeinLeerraum"/>
              <w:rPr>
                <w:color w:val="auto"/>
              </w:rPr>
            </w:pPr>
            <w:r w:rsidRPr="00647C29">
              <w:rPr>
                <w:color w:val="auto"/>
              </w:rPr>
              <w:t>Dauer:</w:t>
            </w:r>
          </w:p>
        </w:tc>
        <w:tc>
          <w:tcPr>
            <w:tcW w:w="6662" w:type="dxa"/>
          </w:tcPr>
          <w:p w14:paraId="17780051" w14:textId="77777777" w:rsidR="00FB2327" w:rsidRPr="00647C29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C29">
              <w:t>45-60 min</w:t>
            </w:r>
          </w:p>
        </w:tc>
      </w:tr>
      <w:tr w:rsidR="00647C29" w:rsidRPr="00647C29" w14:paraId="4B48B01A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FDE0"/>
          </w:tcPr>
          <w:p w14:paraId="27DDD158" w14:textId="77777777" w:rsidR="00FB2327" w:rsidRPr="00647C29" w:rsidRDefault="00451E4A">
            <w:pPr>
              <w:pStyle w:val="KeinLeerraum"/>
              <w:rPr>
                <w:color w:val="auto"/>
              </w:rPr>
            </w:pPr>
            <w:r w:rsidRPr="00647C29">
              <w:rPr>
                <w:color w:val="auto"/>
              </w:rPr>
              <w:t>Gruppengröße:</w:t>
            </w:r>
          </w:p>
        </w:tc>
        <w:tc>
          <w:tcPr>
            <w:tcW w:w="6662" w:type="dxa"/>
            <w:shd w:val="clear" w:color="auto" w:fill="FFFDE0"/>
          </w:tcPr>
          <w:p w14:paraId="03B4D47F" w14:textId="77777777" w:rsidR="00FB2327" w:rsidRPr="00647C2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47C29">
              <w:rPr>
                <w:color w:val="auto"/>
              </w:rPr>
              <w:t>ab 10 Personen</w:t>
            </w:r>
          </w:p>
        </w:tc>
      </w:tr>
      <w:tr w:rsidR="00647C29" w:rsidRPr="00647C29" w14:paraId="43FDC7B2" w14:textId="77777777" w:rsidTr="00C439BC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E98B67A" w14:textId="77777777" w:rsidR="00FB2327" w:rsidRPr="00647C29" w:rsidRDefault="00451E4A">
            <w:pPr>
              <w:pStyle w:val="KeinLeerraum"/>
              <w:rPr>
                <w:color w:val="auto"/>
              </w:rPr>
            </w:pPr>
            <w:r w:rsidRPr="00647C29">
              <w:rPr>
                <w:color w:val="auto"/>
              </w:rPr>
              <w:t>Material:</w:t>
            </w:r>
          </w:p>
        </w:tc>
        <w:tc>
          <w:tcPr>
            <w:tcW w:w="6662" w:type="dxa"/>
          </w:tcPr>
          <w:p w14:paraId="039D48C8" w14:textId="77777777" w:rsidR="00FB2327" w:rsidRPr="00647C29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7C29">
              <w:t>Arbeitsblätter, Stifte</w:t>
            </w:r>
          </w:p>
        </w:tc>
      </w:tr>
    </w:tbl>
    <w:p w14:paraId="3ABE8572" w14:textId="77777777" w:rsidR="00C439BC" w:rsidRDefault="00C439BC">
      <w:pPr>
        <w:pStyle w:val="berschrift2"/>
      </w:pPr>
    </w:p>
    <w:p w14:paraId="79E2C37D" w14:textId="7FBE187E" w:rsidR="00FB2327" w:rsidRDefault="00451E4A">
      <w:pPr>
        <w:pStyle w:val="berschrift2"/>
      </w:pPr>
      <w:r>
        <w:t>Vorüberlegungen &amp; didaktische Hinweise</w:t>
      </w:r>
    </w:p>
    <w:p w14:paraId="0B728BB9" w14:textId="14C00D29" w:rsidR="00FB2327" w:rsidRDefault="00451E4A">
      <w:r>
        <w:t>Für den pädagogischen Einsatz sind ggf. Vorüberlegungen bezüglich der Zielgruppen zu treffen. Sollte das benannte Vorwissen nicht vorhanden sein, sollte vor Verwendung der Methode eine Einheit dazu durchgeführt werden.</w:t>
      </w:r>
      <w:r w:rsidR="00E44A09">
        <w:t xml:space="preserve"> Vgl. dazu Hinweise und ergänzende Links in der Anlage </w:t>
      </w:r>
      <w:r w:rsidR="00E44A09" w:rsidRPr="00C70E25">
        <w:rPr>
          <w:i/>
          <w:iCs/>
        </w:rPr>
        <w:t>Vorwissen</w:t>
      </w:r>
      <w:r w:rsidR="00E44A09">
        <w:t>.</w:t>
      </w:r>
    </w:p>
    <w:tbl>
      <w:tblPr>
        <w:tblStyle w:val="Gitternetztabelle2Akzent3"/>
        <w:tblW w:w="0" w:type="auto"/>
        <w:tblBorders>
          <w:top w:val="single" w:sz="24" w:space="0" w:color="FFE1E2"/>
          <w:left w:val="single" w:sz="24" w:space="0" w:color="FFE1E2"/>
          <w:bottom w:val="single" w:sz="24" w:space="0" w:color="FFE1E2"/>
          <w:right w:val="single" w:sz="24" w:space="0" w:color="FFE1E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0"/>
      </w:tblGrid>
      <w:tr w:rsidR="00FB2327" w14:paraId="3BDF6513" w14:textId="77777777" w:rsidTr="00C4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4466EEAE" w14:textId="77777777" w:rsidR="00FB2327" w:rsidRDefault="00451E4A">
            <w:r>
              <w:t>Erforderliches Vorwissen</w:t>
            </w:r>
          </w:p>
        </w:tc>
      </w:tr>
      <w:tr w:rsidR="00FB2327" w14:paraId="1A874284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E1E2"/>
          </w:tcPr>
          <w:p w14:paraId="043557E8" w14:textId="77777777" w:rsidR="00FB2327" w:rsidRDefault="00451E4A">
            <w:r>
              <w:t>bei der Fachkraft:</w:t>
            </w:r>
          </w:p>
        </w:tc>
        <w:tc>
          <w:tcPr>
            <w:tcW w:w="6520" w:type="dxa"/>
            <w:shd w:val="clear" w:color="auto" w:fill="FFE1E2"/>
          </w:tcPr>
          <w:p w14:paraId="0D7A1622" w14:textId="2895DEA2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Wissen zu Gender, Transgender &amp; geschlechtlicher Vielfalt</w:t>
            </w:r>
            <w:r w:rsidR="00E44A09">
              <w:t>,</w:t>
            </w:r>
          </w:p>
          <w:p w14:paraId="1FAFC855" w14:textId="188AA487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Queerfeindlichkeit</w:t>
            </w:r>
            <w:proofErr w:type="spellEnd"/>
            <w:r w:rsidR="00E44A09">
              <w:t>,</w:t>
            </w:r>
          </w:p>
          <w:p w14:paraId="35A51E46" w14:textId="77777777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Antisemitismus</w:t>
            </w:r>
          </w:p>
        </w:tc>
      </w:tr>
      <w:tr w:rsidR="00FB2327" w14:paraId="457EFADC" w14:textId="77777777" w:rsidTr="00C43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E1E2"/>
          </w:tcPr>
          <w:p w14:paraId="520F88AF" w14:textId="77777777" w:rsidR="00FB2327" w:rsidRDefault="00451E4A">
            <w:r>
              <w:t>bei den Teilnehmenden:</w:t>
            </w:r>
          </w:p>
        </w:tc>
        <w:tc>
          <w:tcPr>
            <w:tcW w:w="6520" w:type="dxa"/>
            <w:shd w:val="clear" w:color="auto" w:fill="FFE1E2"/>
          </w:tcPr>
          <w:p w14:paraId="38FB8D66" w14:textId="7121A522" w:rsidR="00FB2327" w:rsidRDefault="00E44A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Sensibilität zu </w:t>
            </w:r>
            <w:r w:rsidR="00076004">
              <w:t>Geschlechtervielfalt</w:t>
            </w:r>
            <w:r>
              <w:t>,</w:t>
            </w:r>
          </w:p>
          <w:p w14:paraId="256C4425" w14:textId="77777777" w:rsidR="00FB2327" w:rsidRDefault="0045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Reife zur Diskussion über Sexualität</w:t>
            </w:r>
          </w:p>
        </w:tc>
      </w:tr>
    </w:tbl>
    <w:p w14:paraId="336AA556" w14:textId="77777777" w:rsidR="00FB2327" w:rsidRDefault="00FB2327"/>
    <w:tbl>
      <w:tblPr>
        <w:tblStyle w:val="Gitternetztabelle2Akzent3"/>
        <w:tblW w:w="0" w:type="auto"/>
        <w:tblBorders>
          <w:top w:val="single" w:sz="24" w:space="0" w:color="FFE1E2"/>
          <w:left w:val="single" w:sz="24" w:space="0" w:color="FFE1E2"/>
          <w:bottom w:val="single" w:sz="24" w:space="0" w:color="FFE1E2"/>
          <w:right w:val="single" w:sz="24" w:space="0" w:color="FFE1E2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662"/>
      </w:tblGrid>
      <w:tr w:rsidR="00FB2327" w14:paraId="78B9C7AE" w14:textId="77777777" w:rsidTr="00C4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2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1D559ECC" w14:textId="77777777" w:rsidR="00FB2327" w:rsidRDefault="00451E4A">
            <w:r>
              <w:t>Haltung</w:t>
            </w:r>
          </w:p>
        </w:tc>
      </w:tr>
      <w:tr w:rsidR="00FB2327" w14:paraId="424E48FD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FFE1E2"/>
          </w:tcPr>
          <w:p w14:paraId="0A2E5AAC" w14:textId="77777777" w:rsidR="00FB2327" w:rsidRDefault="00451E4A">
            <w:r>
              <w:t>bei der Fachkraft:</w:t>
            </w:r>
          </w:p>
        </w:tc>
        <w:tc>
          <w:tcPr>
            <w:tcW w:w="6662" w:type="dxa"/>
            <w:shd w:val="clear" w:color="auto" w:fill="FFE1E2"/>
          </w:tcPr>
          <w:p w14:paraId="2F5920B9" w14:textId="6D0F7079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Eigene Meinung zu Frauen- und Geschlechterrollen sowie internalisierten Gesellschaftsbildern reflektieren</w:t>
            </w:r>
            <w:r w:rsidR="00E44A09">
              <w:t>,</w:t>
            </w:r>
          </w:p>
          <w:p w14:paraId="09492171" w14:textId="045AD2D6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Neutrale Haltung wahren</w:t>
            </w:r>
            <w:r w:rsidR="00E44A09">
              <w:t>,</w:t>
            </w:r>
          </w:p>
          <w:p w14:paraId="5594A36C" w14:textId="77777777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Beutelsbacher Konsens und Frankfurter Erklärung beachten</w:t>
            </w:r>
          </w:p>
        </w:tc>
      </w:tr>
    </w:tbl>
    <w:p w14:paraId="6BD81FD0" w14:textId="5D4966E5" w:rsidR="00FB2327" w:rsidRDefault="00C439BC">
      <w:r>
        <w:br w:type="page"/>
      </w:r>
    </w:p>
    <w:tbl>
      <w:tblPr>
        <w:tblStyle w:val="Listentabelle4Akzent3"/>
        <w:tblW w:w="0" w:type="auto"/>
        <w:tblBorders>
          <w:top w:val="single" w:sz="24" w:space="0" w:color="FFE1E2"/>
          <w:left w:val="single" w:sz="24" w:space="0" w:color="FFE1E2"/>
          <w:bottom w:val="single" w:sz="24" w:space="0" w:color="FFE1E2"/>
          <w:right w:val="single" w:sz="24" w:space="0" w:color="FFE1E2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394"/>
      </w:tblGrid>
      <w:tr w:rsidR="00FB2327" w14:paraId="5E10CC39" w14:textId="77777777" w:rsidTr="00C4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FE59C19" w14:textId="32384E2A" w:rsidR="00FB2327" w:rsidRPr="00C439BC" w:rsidRDefault="00451E4A" w:rsidP="00F238AB">
            <w:pPr>
              <w:rPr>
                <w:color w:val="auto"/>
              </w:rPr>
            </w:pPr>
            <w:r w:rsidRPr="00C439BC">
              <w:rPr>
                <w:color w:val="auto"/>
              </w:rPr>
              <w:lastRenderedPageBreak/>
              <w:t>Mögliche Reaktionen der Gruppe, die herausfordernd sein könnten:</w:t>
            </w:r>
          </w:p>
        </w:tc>
        <w:tc>
          <w:tcPr>
            <w:tcW w:w="439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6A2601F" w14:textId="77777777" w:rsidR="00FB2327" w:rsidRPr="00C439BC" w:rsidRDefault="00451E4A" w:rsidP="00F23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9BC">
              <w:rPr>
                <w:color w:val="auto"/>
              </w:rPr>
              <w:t>Umgang damit:</w:t>
            </w:r>
          </w:p>
          <w:p w14:paraId="3E4E549C" w14:textId="77777777" w:rsidR="00FB2327" w:rsidRPr="00C439BC" w:rsidRDefault="00FB2327" w:rsidP="00F238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B2327" w14:paraId="46DDA144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vMerge w:val="restart"/>
            <w:shd w:val="clear" w:color="auto" w:fill="FFE1E2"/>
          </w:tcPr>
          <w:p w14:paraId="45778198" w14:textId="77777777" w:rsidR="00FB2327" w:rsidRDefault="00451E4A">
            <w:r>
              <w:t>Die Fehler in den Logos werden nicht wahrgenommen.</w:t>
            </w:r>
          </w:p>
        </w:tc>
        <w:tc>
          <w:tcPr>
            <w:tcW w:w="4394" w:type="dxa"/>
            <w:vMerge w:val="restart"/>
            <w:shd w:val="clear" w:color="auto" w:fill="FFE1E2"/>
          </w:tcPr>
          <w:p w14:paraId="14B38AB9" w14:textId="77777777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Echte Logos zeigen</w:t>
            </w:r>
          </w:p>
        </w:tc>
      </w:tr>
      <w:tr w:rsidR="00FB2327" w14:paraId="50246F4E" w14:textId="77777777" w:rsidTr="00C43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vMerge w:val="restart"/>
            <w:shd w:val="clear" w:color="auto" w:fill="FFE1E2"/>
          </w:tcPr>
          <w:p w14:paraId="3F80812C" w14:textId="77777777" w:rsidR="00FB2327" w:rsidRDefault="00451E4A">
            <w:r>
              <w:t>TN verstehen den Diskriminierungsbezug nicht</w:t>
            </w:r>
          </w:p>
        </w:tc>
        <w:tc>
          <w:tcPr>
            <w:tcW w:w="4394" w:type="dxa"/>
            <w:shd w:val="clear" w:color="auto" w:fill="FFE1E2"/>
          </w:tcPr>
          <w:p w14:paraId="3FE85C29" w14:textId="77777777" w:rsidR="00FB2327" w:rsidRDefault="00451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Nochmals auf die diskriminierenden Behauptungen hinweisen und dass es dafür keine Belege und Berichte gibt.</w:t>
            </w:r>
          </w:p>
        </w:tc>
      </w:tr>
      <w:tr w:rsidR="00FB2327" w14:paraId="6C694DA3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0" w:type="dxa"/>
            <w:vMerge w:val="restart"/>
            <w:shd w:val="clear" w:color="auto" w:fill="FFE1E2"/>
          </w:tcPr>
          <w:p w14:paraId="20CED815" w14:textId="77777777" w:rsidR="00FB2327" w:rsidRDefault="00451E4A">
            <w:r>
              <w:t>TN treffen diskriminierende Äußerungen, die an das Beispiel anknüpfen</w:t>
            </w:r>
          </w:p>
        </w:tc>
        <w:tc>
          <w:tcPr>
            <w:tcW w:w="4394" w:type="dxa"/>
            <w:vMerge w:val="restart"/>
            <w:shd w:val="clear" w:color="auto" w:fill="FFE1E2"/>
          </w:tcPr>
          <w:p w14:paraId="3A4461D0" w14:textId="77777777" w:rsidR="00FB2327" w:rsidRDefault="00451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Lerngruppe befragen, welche Haltungen sie bzw. die anderen TN dazu haben; weitere Perspektiven anbieten oder gemeinsam erarbeiten. Gegebenenfalls mit der Gruppe eine Netiquette aushandeln.</w:t>
            </w:r>
          </w:p>
        </w:tc>
      </w:tr>
    </w:tbl>
    <w:p w14:paraId="3F001D41" w14:textId="172DB514" w:rsidR="00C439BC" w:rsidRDefault="00C439BC">
      <w:pPr>
        <w:pStyle w:val="berschrift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F173EC" wp14:editId="7479D671">
            <wp:simplePos x="0" y="0"/>
            <wp:positionH relativeFrom="column">
              <wp:posOffset>5111750</wp:posOffset>
            </wp:positionH>
            <wp:positionV relativeFrom="paragraph">
              <wp:posOffset>379730</wp:posOffset>
            </wp:positionV>
            <wp:extent cx="828000" cy="828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46A1C" w14:textId="794640B7" w:rsidR="00C439BC" w:rsidRDefault="00C439BC">
      <w:pPr>
        <w:pStyle w:val="berschrift2"/>
      </w:pPr>
    </w:p>
    <w:p w14:paraId="1ED467B1" w14:textId="026F2613" w:rsidR="00FB2327" w:rsidRDefault="00451E4A">
      <w:pPr>
        <w:pStyle w:val="berschrift2"/>
      </w:pPr>
      <w:r>
        <w:t>Methode</w:t>
      </w:r>
    </w:p>
    <w:tbl>
      <w:tblPr>
        <w:tblStyle w:val="GridTable4-Accent3"/>
        <w:tblW w:w="9356" w:type="dxa"/>
        <w:tblInd w:w="-5" w:type="dxa"/>
        <w:tblBorders>
          <w:top w:val="single" w:sz="24" w:space="0" w:color="FFFDE0"/>
          <w:left w:val="single" w:sz="24" w:space="0" w:color="FFFDE0"/>
          <w:bottom w:val="single" w:sz="24" w:space="0" w:color="FFFDE0"/>
          <w:right w:val="single" w:sz="24" w:space="0" w:color="FFFDE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544"/>
        <w:gridCol w:w="2126"/>
      </w:tblGrid>
      <w:tr w:rsidR="00FB2327" w14:paraId="79B9CB78" w14:textId="77777777" w:rsidTr="00C4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E369"/>
          </w:tcPr>
          <w:p w14:paraId="559AC658" w14:textId="77777777" w:rsidR="00FB2327" w:rsidRPr="00C439BC" w:rsidRDefault="00451E4A">
            <w:pPr>
              <w:pStyle w:val="KeinLeerraum"/>
              <w:rPr>
                <w:color w:val="auto"/>
              </w:rPr>
            </w:pPr>
            <w:r w:rsidRPr="00C439BC">
              <w:rPr>
                <w:color w:val="auto"/>
              </w:rPr>
              <w:t>Zeit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E369"/>
          </w:tcPr>
          <w:p w14:paraId="2DB7FE07" w14:textId="77777777" w:rsidR="00FB2327" w:rsidRPr="00C439BC" w:rsidRDefault="00451E4A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9BC">
              <w:rPr>
                <w:color w:val="auto"/>
              </w:rPr>
              <w:t>(Lern)Ziel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shd w:val="clear" w:color="auto" w:fill="FFE369"/>
          </w:tcPr>
          <w:p w14:paraId="06992724" w14:textId="77777777" w:rsidR="00FB2327" w:rsidRPr="00C439BC" w:rsidRDefault="00451E4A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9BC">
              <w:rPr>
                <w:color w:val="auto"/>
              </w:rPr>
              <w:t>Aktion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369"/>
          </w:tcPr>
          <w:p w14:paraId="3C7F4654" w14:textId="77777777" w:rsidR="00FB2327" w:rsidRPr="00C439BC" w:rsidRDefault="00451E4A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439BC">
              <w:rPr>
                <w:color w:val="auto"/>
              </w:rPr>
              <w:t>Methode / Material</w:t>
            </w:r>
          </w:p>
        </w:tc>
      </w:tr>
      <w:tr w:rsidR="00FB2327" w14:paraId="0C82673D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DE0"/>
          </w:tcPr>
          <w:p w14:paraId="67BFBB52" w14:textId="77777777" w:rsidR="00FB2327" w:rsidRDefault="00451E4A">
            <w:pPr>
              <w:pStyle w:val="KeinLeerraum"/>
            </w:pPr>
            <w:r>
              <w:t>2 min</w:t>
            </w:r>
          </w:p>
        </w:tc>
        <w:tc>
          <w:tcPr>
            <w:tcW w:w="2693" w:type="dxa"/>
            <w:shd w:val="clear" w:color="auto" w:fill="FFFDE0"/>
          </w:tcPr>
          <w:p w14:paraId="41821507" w14:textId="77777777" w:rsidR="00FB2327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Einordnung des Themas</w:t>
            </w:r>
          </w:p>
        </w:tc>
        <w:tc>
          <w:tcPr>
            <w:tcW w:w="3544" w:type="dxa"/>
            <w:shd w:val="clear" w:color="auto" w:fill="FFFDE0"/>
          </w:tcPr>
          <w:p w14:paraId="366D7806" w14:textId="77777777" w:rsidR="00FB2327" w:rsidRPr="00E44A0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4A09">
              <w:rPr>
                <w:b/>
                <w:bCs/>
              </w:rPr>
              <w:t>Vorgespräch</w:t>
            </w:r>
          </w:p>
        </w:tc>
        <w:tc>
          <w:tcPr>
            <w:tcW w:w="2126" w:type="dxa"/>
            <w:shd w:val="clear" w:color="auto" w:fill="FFFDE0"/>
          </w:tcPr>
          <w:p w14:paraId="20A246CA" w14:textId="77777777" w:rsidR="00FB2327" w:rsidRPr="00E44A0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E44A09">
              <w:rPr>
                <w:i/>
                <w:iCs/>
              </w:rPr>
              <w:t>Input</w:t>
            </w:r>
          </w:p>
        </w:tc>
      </w:tr>
      <w:tr w:rsidR="00FB2327" w14:paraId="3E4690F0" w14:textId="77777777" w:rsidTr="00C43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1BF36F4" w14:textId="77777777" w:rsidR="00FB2327" w:rsidRDefault="00451E4A">
            <w:pPr>
              <w:pStyle w:val="KeinLeerraum"/>
            </w:pPr>
            <w:r>
              <w:t>3 min</w:t>
            </w:r>
          </w:p>
        </w:tc>
        <w:tc>
          <w:tcPr>
            <w:tcW w:w="2693" w:type="dxa"/>
          </w:tcPr>
          <w:p w14:paraId="1FABCD10" w14:textId="77777777" w:rsidR="00FB2327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TN* lernen das Beispiel kennen und verstehen die kommende Aufgabenstellung.</w:t>
            </w:r>
          </w:p>
        </w:tc>
        <w:tc>
          <w:tcPr>
            <w:tcW w:w="3544" w:type="dxa"/>
          </w:tcPr>
          <w:p w14:paraId="1B1BF12C" w14:textId="0179D6E1" w:rsidR="00FD697A" w:rsidRDefault="00FD697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Einführung</w:t>
            </w:r>
          </w:p>
          <w:p w14:paraId="58D11827" w14:textId="5E034DFE" w:rsidR="00FB2327" w:rsidRDefault="00FA7465" w:rsidP="00FD697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proofErr w:type="spellStart"/>
            <w:r>
              <w:t>teamende</w:t>
            </w:r>
            <w:proofErr w:type="spellEnd"/>
            <w:r>
              <w:t xml:space="preserve"> Person erläutert die Aufgabenstellung und kündigt die kommende Einzelarbeit an. Sie gibt einen </w:t>
            </w:r>
            <w:proofErr w:type="spellStart"/>
            <w:r>
              <w:t>Triggerhinweis</w:t>
            </w:r>
            <w:proofErr w:type="spellEnd"/>
            <w:r>
              <w:t>, bevor im Anschluss Arbeitsblätter mit potenziell belastenden Inhalten ausgeteilt werden.</w:t>
            </w:r>
          </w:p>
        </w:tc>
        <w:tc>
          <w:tcPr>
            <w:tcW w:w="2126" w:type="dxa"/>
          </w:tcPr>
          <w:p w14:paraId="68988581" w14:textId="77777777" w:rsidR="00FB2327" w:rsidRPr="00E44A09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E44A09">
              <w:rPr>
                <w:i/>
                <w:iCs/>
              </w:rPr>
              <w:t>Input</w:t>
            </w:r>
          </w:p>
        </w:tc>
      </w:tr>
      <w:tr w:rsidR="00FB2327" w14:paraId="55368F7C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DE0"/>
          </w:tcPr>
          <w:p w14:paraId="34331052" w14:textId="77777777" w:rsidR="00FB2327" w:rsidRDefault="00451E4A">
            <w:pPr>
              <w:pStyle w:val="KeinLeerraum"/>
            </w:pPr>
            <w:r>
              <w:t>10 min</w:t>
            </w:r>
          </w:p>
        </w:tc>
        <w:tc>
          <w:tcPr>
            <w:tcW w:w="2693" w:type="dxa"/>
            <w:shd w:val="clear" w:color="auto" w:fill="FFFDE0"/>
          </w:tcPr>
          <w:p w14:paraId="2605D80E" w14:textId="77777777" w:rsidR="00FB2327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Verständnis der Grafik und des Textes gemeinsame Analyse der Ästhetik / Darstellungsweise</w:t>
            </w:r>
          </w:p>
        </w:tc>
        <w:tc>
          <w:tcPr>
            <w:tcW w:w="3544" w:type="dxa"/>
            <w:shd w:val="clear" w:color="auto" w:fill="FFFDE0"/>
          </w:tcPr>
          <w:p w14:paraId="493E68C0" w14:textId="77777777" w:rsidR="00FB2327" w:rsidRPr="00E44A0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4A09">
              <w:rPr>
                <w:b/>
                <w:bCs/>
              </w:rPr>
              <w:t>Einzelarbeit: Arbeitsblatt</w:t>
            </w:r>
          </w:p>
          <w:p w14:paraId="56A07B20" w14:textId="784C4A48" w:rsidR="00FB2327" w:rsidRDefault="00FD697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TN beantworten die Aufgabenstellung de</w:t>
            </w:r>
            <w:r w:rsidR="006A2208">
              <w:t xml:space="preserve">s Arbeitsblattes. Wichtig ist, dass zunächst der emotionale Eindruck formuliert (Frage 1) und dann erst die folgenden Fragen beantwortet werden. </w:t>
            </w:r>
          </w:p>
        </w:tc>
        <w:tc>
          <w:tcPr>
            <w:tcW w:w="2126" w:type="dxa"/>
            <w:shd w:val="clear" w:color="auto" w:fill="FFFDE0"/>
          </w:tcPr>
          <w:p w14:paraId="67758B50" w14:textId="1C6AC9D9" w:rsidR="00E44A09" w:rsidRPr="00E44A09" w:rsidRDefault="00E44A09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E44A09">
              <w:rPr>
                <w:i/>
                <w:iCs/>
              </w:rPr>
              <w:t>Einzelarbeit</w:t>
            </w:r>
          </w:p>
          <w:p w14:paraId="65A06459" w14:textId="7CE7779E" w:rsidR="00FB2327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Arbeitsblatt Bild</w:t>
            </w:r>
            <w:r w:rsidR="006A2208">
              <w:t>a</w:t>
            </w:r>
            <w:r>
              <w:t xml:space="preserve">nalyse </w:t>
            </w:r>
            <w:proofErr w:type="spellStart"/>
            <w:r>
              <w:t>trans</w:t>
            </w:r>
            <w:proofErr w:type="spellEnd"/>
            <w:r>
              <w:t>* Frauen</w:t>
            </w:r>
          </w:p>
        </w:tc>
      </w:tr>
      <w:tr w:rsidR="00FB2327" w14:paraId="001E241E" w14:textId="77777777" w:rsidTr="00C43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92B6A21" w14:textId="77777777" w:rsidR="00FB2327" w:rsidRDefault="00451E4A">
            <w:pPr>
              <w:pStyle w:val="KeinLeerraum"/>
            </w:pPr>
            <w:r>
              <w:t>10 min</w:t>
            </w:r>
          </w:p>
        </w:tc>
        <w:tc>
          <w:tcPr>
            <w:tcW w:w="2693" w:type="dxa"/>
          </w:tcPr>
          <w:p w14:paraId="019344EA" w14:textId="77777777" w:rsidR="00FB2327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TN tauschen verschiedene Sichtweisen aus und lernen andere Betrachtungsperspektiven </w:t>
            </w:r>
            <w:r>
              <w:lastRenderedPageBreak/>
              <w:t>kennen. Sie vertiefen ihr Verständnis zur Abbildung.</w:t>
            </w:r>
          </w:p>
        </w:tc>
        <w:tc>
          <w:tcPr>
            <w:tcW w:w="3544" w:type="dxa"/>
          </w:tcPr>
          <w:p w14:paraId="2C1CEF27" w14:textId="77777777" w:rsidR="00E44A09" w:rsidRPr="00E44A09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A09">
              <w:rPr>
                <w:b/>
                <w:bCs/>
              </w:rPr>
              <w:lastRenderedPageBreak/>
              <w:t>Kleingruppenarbeit</w:t>
            </w:r>
          </w:p>
          <w:p w14:paraId="09C77F15" w14:textId="38122B89" w:rsidR="00FB2327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TN teilen ihre Ergebnisse untereinander und diskutieren diese.</w:t>
            </w:r>
          </w:p>
        </w:tc>
        <w:tc>
          <w:tcPr>
            <w:tcW w:w="2126" w:type="dxa"/>
          </w:tcPr>
          <w:p w14:paraId="4562F357" w14:textId="218379D7" w:rsidR="00FB2327" w:rsidRDefault="00E44A09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A09">
              <w:rPr>
                <w:i/>
                <w:iCs/>
              </w:rPr>
              <w:t>Gruppenarbeit</w:t>
            </w:r>
            <w:r>
              <w:t xml:space="preserve">: </w:t>
            </w:r>
            <w:r w:rsidR="00451E4A">
              <w:t>Murmelgruppen</w:t>
            </w:r>
          </w:p>
        </w:tc>
      </w:tr>
      <w:tr w:rsidR="00FB2327" w14:paraId="0BA6E904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DE0"/>
          </w:tcPr>
          <w:p w14:paraId="1F5C440E" w14:textId="77777777" w:rsidR="00FB2327" w:rsidRDefault="00451E4A">
            <w:pPr>
              <w:pStyle w:val="KeinLeerraum"/>
            </w:pPr>
            <w:r>
              <w:t>15 min</w:t>
            </w:r>
          </w:p>
        </w:tc>
        <w:tc>
          <w:tcPr>
            <w:tcW w:w="2693" w:type="dxa"/>
            <w:shd w:val="clear" w:color="auto" w:fill="FFFDE0"/>
          </w:tcPr>
          <w:p w14:paraId="31AB868F" w14:textId="77777777" w:rsidR="00FB2327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Hintergründe zum Posting kennenlernen / Die Dimensionen der vorliegenden Diskriminierungen erlernen</w:t>
            </w:r>
          </w:p>
        </w:tc>
        <w:tc>
          <w:tcPr>
            <w:tcW w:w="3544" w:type="dxa"/>
            <w:shd w:val="clear" w:color="auto" w:fill="FFFDE0"/>
          </w:tcPr>
          <w:p w14:paraId="1C55EA07" w14:textId="1ADB03E4" w:rsidR="00FB2327" w:rsidRPr="00E44A09" w:rsidRDefault="00E44A09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E44A09">
              <w:rPr>
                <w:b/>
                <w:bCs/>
                <w:iCs/>
              </w:rPr>
              <w:t xml:space="preserve">Plenum: </w:t>
            </w:r>
            <w:r w:rsidR="00451E4A" w:rsidRPr="00E44A09">
              <w:rPr>
                <w:b/>
                <w:bCs/>
                <w:iCs/>
              </w:rPr>
              <w:t>Diskussion über inhaltliche Dimension</w:t>
            </w:r>
          </w:p>
          <w:p w14:paraId="26FFCC5C" w14:textId="77777777" w:rsidR="00FB2327" w:rsidRDefault="00451E4A" w:rsidP="00F238AB">
            <w:pPr>
              <w:pStyle w:val="KeinLeerrau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 sind die inhaltlichen Aussagen?</w:t>
            </w:r>
          </w:p>
          <w:p w14:paraId="3E4FB9A4" w14:textId="77777777" w:rsidR="00FB2327" w:rsidRDefault="00451E4A" w:rsidP="00F238AB">
            <w:pPr>
              <w:pStyle w:val="KeinLeerrau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Welche Menschen kann das Posting verletzen?</w:t>
            </w:r>
          </w:p>
          <w:p w14:paraId="1391A8B7" w14:textId="77777777" w:rsidR="00FB2327" w:rsidRDefault="00451E4A" w:rsidP="00F238AB">
            <w:pPr>
              <w:pStyle w:val="KeinLeerrau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Von welchen Institutionen ist das Posting vermeintlich erstellt worden?</w:t>
            </w:r>
          </w:p>
          <w:p w14:paraId="560229AE" w14:textId="77777777" w:rsidR="00FB2327" w:rsidRDefault="00451E4A" w:rsidP="00F238AB">
            <w:pPr>
              <w:pStyle w:val="KeinLeerrau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Logos sind fehlerhaft und die Institutionen haben nie ein solches Posting erstellt – was denkst du jetzt?</w:t>
            </w:r>
          </w:p>
          <w:p w14:paraId="2C05D0B4" w14:textId="77777777" w:rsidR="00FB2327" w:rsidRDefault="00451E4A" w:rsidP="00F238AB">
            <w:pPr>
              <w:pStyle w:val="KeinLeerraum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Welche Formen von gruppenbezogener Menschenfeindlichkeit GMF sind hier vorhanden?</w:t>
            </w:r>
          </w:p>
          <w:p w14:paraId="762450B8" w14:textId="77777777" w:rsidR="00FB2327" w:rsidRDefault="00FB2327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39A00C" w14:textId="77777777" w:rsidR="00FB2327" w:rsidRPr="000411E4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  <w:r w:rsidRPr="000411E4">
              <w:rPr>
                <w:b/>
                <w:bCs/>
                <w:iCs/>
              </w:rPr>
              <w:t>Diskussion über Wahrnehmung/ möglichen Umgang mit dem Post</w:t>
            </w:r>
          </w:p>
          <w:p w14:paraId="3FBDDA48" w14:textId="77777777" w:rsidR="00FB2327" w:rsidRDefault="00451E4A" w:rsidP="00F238AB">
            <w:pPr>
              <w:pStyle w:val="KeinLeerrau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Stell dir vor, das Bild taucht in deinem Feed auf: Würde es dir besonders auffallen?</w:t>
            </w:r>
          </w:p>
          <w:p w14:paraId="716BC18A" w14:textId="77777777" w:rsidR="00FB2327" w:rsidRDefault="00451E4A" w:rsidP="00F238AB">
            <w:pPr>
              <w:pStyle w:val="KeinLeerraum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Wenn du das Bild online siehst, wie könntest du reagieren?</w:t>
            </w:r>
          </w:p>
        </w:tc>
        <w:tc>
          <w:tcPr>
            <w:tcW w:w="2126" w:type="dxa"/>
            <w:shd w:val="clear" w:color="auto" w:fill="FFFDE0"/>
          </w:tcPr>
          <w:p w14:paraId="4DECAC9D" w14:textId="58DA5696" w:rsidR="00FB2327" w:rsidRPr="00E44A09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E44A09">
              <w:rPr>
                <w:i/>
                <w:iCs/>
              </w:rPr>
              <w:t>Diskussion</w:t>
            </w:r>
          </w:p>
        </w:tc>
      </w:tr>
      <w:tr w:rsidR="00FB2327" w14:paraId="0201473A" w14:textId="77777777" w:rsidTr="00C439BC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D45FA19" w14:textId="77777777" w:rsidR="00FB2327" w:rsidRDefault="00451E4A">
            <w:pPr>
              <w:pStyle w:val="KeinLeerraum"/>
            </w:pPr>
            <w:r>
              <w:t>5-15 min</w:t>
            </w:r>
          </w:p>
        </w:tc>
        <w:tc>
          <w:tcPr>
            <w:tcW w:w="2693" w:type="dxa"/>
          </w:tcPr>
          <w:p w14:paraId="20985B0A" w14:textId="77777777" w:rsidR="00FB2327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Handlungsalternativen zum Umgang mit dem Posting kennenlernen</w:t>
            </w:r>
          </w:p>
        </w:tc>
        <w:tc>
          <w:tcPr>
            <w:tcW w:w="3544" w:type="dxa"/>
          </w:tcPr>
          <w:p w14:paraId="4C02449C" w14:textId="77777777" w:rsidR="00DB0DF2" w:rsidRPr="00DB0DF2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B0DF2">
              <w:rPr>
                <w:b/>
                <w:bCs/>
              </w:rPr>
              <w:t xml:space="preserve">Call </w:t>
            </w:r>
            <w:proofErr w:type="spellStart"/>
            <w:r w:rsidRPr="00DB0DF2">
              <w:rPr>
                <w:b/>
                <w:bCs/>
              </w:rPr>
              <w:t>to</w:t>
            </w:r>
            <w:proofErr w:type="spellEnd"/>
            <w:r w:rsidRPr="00DB0DF2">
              <w:rPr>
                <w:b/>
                <w:bCs/>
              </w:rPr>
              <w:t xml:space="preserve"> </w:t>
            </w:r>
            <w:proofErr w:type="spellStart"/>
            <w:r w:rsidRPr="00DB0DF2">
              <w:rPr>
                <w:b/>
                <w:bCs/>
              </w:rPr>
              <w:t>action</w:t>
            </w:r>
            <w:proofErr w:type="spellEnd"/>
          </w:p>
          <w:p w14:paraId="0FE94CD4" w14:textId="0E0EF961" w:rsidR="00FB2327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Auflistung der möglichen Reaktionen auf dieses und ähnliche Postings (siehe </w:t>
            </w:r>
            <w:r w:rsidRPr="00E44A09">
              <w:rPr>
                <w:i/>
                <w:iCs/>
              </w:rPr>
              <w:t>Handout</w:t>
            </w:r>
            <w:r>
              <w:t>)</w:t>
            </w:r>
            <w:r w:rsidR="00DB0DF2">
              <w:t>.</w:t>
            </w:r>
          </w:p>
        </w:tc>
        <w:tc>
          <w:tcPr>
            <w:tcW w:w="2126" w:type="dxa"/>
          </w:tcPr>
          <w:p w14:paraId="04350B5B" w14:textId="4AAE6856" w:rsidR="00FB2327" w:rsidRDefault="00451E4A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4A09">
              <w:rPr>
                <w:i/>
                <w:iCs/>
              </w:rPr>
              <w:t>Präsentation</w:t>
            </w:r>
            <w:r>
              <w:t xml:space="preserve"> oder </w:t>
            </w:r>
            <w:r w:rsidR="00DB0DF2">
              <w:t>Ideensammlung</w:t>
            </w:r>
            <w:r>
              <w:t xml:space="preserve"> an Smartboard</w:t>
            </w:r>
            <w:r w:rsidR="00E44A09">
              <w:t xml:space="preserve"> </w:t>
            </w:r>
            <w:r>
              <w:t>/</w:t>
            </w:r>
            <w:r w:rsidR="00E44A09">
              <w:t xml:space="preserve"> </w:t>
            </w:r>
            <w:r>
              <w:t>Flipchart</w:t>
            </w:r>
            <w:r w:rsidR="00E44A09">
              <w:t xml:space="preserve"> </w:t>
            </w:r>
            <w:r>
              <w:t>/</w:t>
            </w:r>
            <w:r w:rsidR="00E44A09">
              <w:t xml:space="preserve"> </w:t>
            </w:r>
            <w:r>
              <w:t>Tafel</w:t>
            </w:r>
          </w:p>
        </w:tc>
      </w:tr>
      <w:tr w:rsidR="00FB2327" w14:paraId="40221B15" w14:textId="77777777" w:rsidTr="00C43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FFDE0"/>
          </w:tcPr>
          <w:p w14:paraId="06163325" w14:textId="77777777" w:rsidR="00FB2327" w:rsidRDefault="00451E4A">
            <w:pPr>
              <w:pStyle w:val="KeinLeerraum"/>
            </w:pPr>
            <w:r>
              <w:t>offen</w:t>
            </w:r>
          </w:p>
        </w:tc>
        <w:tc>
          <w:tcPr>
            <w:tcW w:w="2693" w:type="dxa"/>
            <w:shd w:val="clear" w:color="auto" w:fill="FFFDE0"/>
          </w:tcPr>
          <w:p w14:paraId="1CB4D954" w14:textId="77777777" w:rsidR="00FB2327" w:rsidRDefault="00FB2327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4" w:type="dxa"/>
            <w:shd w:val="clear" w:color="auto" w:fill="FFFDE0"/>
          </w:tcPr>
          <w:p w14:paraId="61022F8A" w14:textId="7A28DA7C" w:rsidR="00FB2327" w:rsidRDefault="00451E4A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0DF2">
              <w:rPr>
                <w:b/>
                <w:bCs/>
              </w:rPr>
              <w:t>Anschlussübung / Diskussion</w:t>
            </w:r>
            <w:r>
              <w:t>, z.B.</w:t>
            </w:r>
          </w:p>
          <w:p w14:paraId="2BE6AF64" w14:textId="77777777" w:rsidR="00FB2327" w:rsidRDefault="00451E4A" w:rsidP="00F238AB">
            <w:pPr>
              <w:pStyle w:val="KeinLeerraum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unterschiedliche Positionen der Gruppe debattieren</w:t>
            </w:r>
          </w:p>
          <w:p w14:paraId="4BE360DA" w14:textId="77777777" w:rsidR="00FB2327" w:rsidRDefault="00451E4A" w:rsidP="00F238AB">
            <w:pPr>
              <w:pStyle w:val="KeinLeerraum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Counter Speech üben, z.B. mit einem Schreibgespräch</w:t>
            </w:r>
          </w:p>
          <w:p w14:paraId="6D0756A5" w14:textId="77777777" w:rsidR="00FB2327" w:rsidRDefault="00451E4A" w:rsidP="00F238AB">
            <w:pPr>
              <w:pStyle w:val="KeinLeerraum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Fake News / Desinformationen enttarnen, z.B. mit der Bilderrückwärtssuche die </w:t>
            </w:r>
            <w:r>
              <w:lastRenderedPageBreak/>
              <w:t>Logos bzw. das Posting überprüfen und den Text mittels Suchmaschine enttarnen</w:t>
            </w:r>
          </w:p>
        </w:tc>
        <w:tc>
          <w:tcPr>
            <w:tcW w:w="2126" w:type="dxa"/>
            <w:shd w:val="clear" w:color="auto" w:fill="FFFDE0"/>
          </w:tcPr>
          <w:p w14:paraId="4D93F4C5" w14:textId="77777777" w:rsidR="00FB2327" w:rsidRDefault="00FB2327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75D595" w14:textId="1B485CBA" w:rsidR="00C439BC" w:rsidRDefault="00451E4A">
      <w:r>
        <w:t>*TN=Teilnehmende(n)</w:t>
      </w:r>
    </w:p>
    <w:p w14:paraId="7E8FB6FA" w14:textId="26F01CF9" w:rsidR="00FB2327" w:rsidRDefault="000411E4">
      <w:r>
        <w:rPr>
          <w:noProof/>
        </w:rPr>
        <w:drawing>
          <wp:anchor distT="0" distB="0" distL="114300" distR="114300" simplePos="0" relativeHeight="251660288" behindDoc="0" locked="0" layoutInCell="1" allowOverlap="1" wp14:anchorId="220DBF34" wp14:editId="621CCB6F">
            <wp:simplePos x="0" y="0"/>
            <wp:positionH relativeFrom="margin">
              <wp:posOffset>4753610</wp:posOffset>
            </wp:positionH>
            <wp:positionV relativeFrom="paragraph">
              <wp:posOffset>233045</wp:posOffset>
            </wp:positionV>
            <wp:extent cx="1155065" cy="962025"/>
            <wp:effectExtent l="0" t="0" r="0" b="952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E4A">
        <w:rPr>
          <w:noProof/>
        </w:rPr>
        <mc:AlternateContent>
          <mc:Choice Requires="wps">
            <w:drawing>
              <wp:anchor distT="0" distB="0" distL="115200" distR="115200" simplePos="0" relativeHeight="3072" behindDoc="0" locked="0" layoutInCell="1" allowOverlap="1" wp14:anchorId="3B04A727" wp14:editId="4EA3ADD3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943600" cy="1630680"/>
                <wp:effectExtent l="0" t="0" r="19050" b="26670"/>
                <wp:wrapNone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4360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70AF9" w14:textId="45E8F35E" w:rsidR="00FB2327" w:rsidRDefault="00451E4A">
                            <w:r>
                              <w:t>Für Schule und Jugendarbeit - eine Anschlussübung:</w:t>
                            </w:r>
                          </w:p>
                          <w:p w14:paraId="1A8DE87A" w14:textId="77777777" w:rsidR="00DC15FE" w:rsidRDefault="00451E4A" w:rsidP="00DC15FE"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28"/>
                              </w:rPr>
                              <w:t>Fake News im digitalen Zeitalter</w:t>
                            </w:r>
                            <w:r>
                              <w:br/>
                              <w:t xml:space="preserve">Von unverhältnismäßiger Aufmerksamkeit bis zur bewussten </w:t>
                            </w:r>
                          </w:p>
                          <w:p w14:paraId="4AECCD6B" w14:textId="76AE5F60" w:rsidR="00FB2327" w:rsidRDefault="00451E4A" w:rsidP="00DC15FE">
                            <w:pPr>
                              <w:spacing w:after="0"/>
                            </w:pPr>
                            <w:r>
                              <w:t>Manipulation von Informationen</w:t>
                            </w:r>
                            <w:r>
                              <w:br/>
                            </w:r>
                            <w:hyperlink r:id="rId14" w:tooltip="https://www.politische-medienkompetenz.de/unsere-schwerpunkte/fake-news-und-verschwoerungserzaehlungen/fake-news/" w:history="1">
                              <w:r>
                                <w:rPr>
                                  <w:rStyle w:val="Hyperlink"/>
                                </w:rPr>
                                <w:t>https://www.politische-medienkompetenz.de/unsere-schwerpunkte/fake-news-und-verschwoerungserzaehlungen/fake-news/</w:t>
                              </w:r>
                            </w:hyperlink>
                          </w:p>
                        </w:txbxContent>
                      </wps:txbx>
                      <wps:bodyPr vertOverflow="overflow" horzOverflow="clip" vert="horz" wrap="square" lIns="91440" tIns="45720" rIns="91440" bIns="45720" numCol="1" spcCol="0" rtlCol="0" fromWordArt="0" anchor="t" anchorCtr="0" forceAA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A7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9.2pt;width:468pt;height:128.4pt;z-index:3072;visibility:visible;mso-wrap-style:square;mso-height-percent:0;mso-wrap-distance-left:3.2mm;mso-wrap-distance-top:0;mso-wrap-distance-right:3.2mm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" fillcolor="white [3201]" strokeweight=".5pt">
                <v:textbox>
                  <w:txbxContent>
                    <w:p w14:paraId="2D770AF9" w14:textId="45E8F35E" w:rsidR="00FB2327" w:rsidRDefault="00451E4A">
                      <w:r>
                        <w:t>Für Schule und Jugendarbeit - eine Anschlussübung:</w:t>
                      </w:r>
                    </w:p>
                    <w:p w14:paraId="1A8DE87A" w14:textId="77777777" w:rsidR="00DC15FE" w:rsidRDefault="00451E4A" w:rsidP="00DC15FE">
                      <w:pPr>
                        <w:spacing w:after="0"/>
                      </w:pPr>
                      <w:r>
                        <w:rPr>
                          <w:b/>
                          <w:sz w:val="28"/>
                        </w:rPr>
                        <w:t>Fake News im digitalen Zeitalter</w:t>
                      </w:r>
                      <w:r>
                        <w:br/>
                        <w:t xml:space="preserve">Von unverhältnismäßiger Aufmerksamkeit bis zur bewussten </w:t>
                      </w:r>
                    </w:p>
                    <w:p w14:paraId="4AECCD6B" w14:textId="76AE5F60" w:rsidR="00FB2327" w:rsidRDefault="00451E4A" w:rsidP="00DC15FE">
                      <w:pPr>
                        <w:spacing w:after="0"/>
                      </w:pPr>
                      <w:r>
                        <w:t>Manipulation von Informationen</w:t>
                      </w:r>
                      <w:r>
                        <w:br/>
                      </w:r>
                      <w:hyperlink r:id="rId15" w:tooltip="https://www.politische-medienkompetenz.de/unsere-schwerpunkte/fake-news-und-verschwoerungserzaehlungen/fake-news/" w:history="1">
                        <w:r>
                          <w:rPr>
                            <w:rStyle w:val="Hyperlink"/>
                          </w:rPr>
                          <w:t>https://www.politische-medienkompetenz.de/unsere-schwerpunkte/fake-news-und-verschwoerungserzaehlungen/fake-news/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B8CC7" w14:textId="62EB5C10" w:rsidR="00FB2327" w:rsidRDefault="00FB2327">
      <w:pPr>
        <w:tabs>
          <w:tab w:val="left" w:pos="9072"/>
        </w:tabs>
      </w:pPr>
    </w:p>
    <w:p w14:paraId="7A37B34A" w14:textId="7850487F" w:rsidR="00120F4D" w:rsidRDefault="00120F4D">
      <w:pPr>
        <w:tabs>
          <w:tab w:val="left" w:pos="9072"/>
        </w:tabs>
      </w:pPr>
    </w:p>
    <w:p w14:paraId="3AFA2FF7" w14:textId="2B0EEC13" w:rsidR="00120F4D" w:rsidRDefault="00120F4D">
      <w:pPr>
        <w:tabs>
          <w:tab w:val="left" w:pos="9072"/>
        </w:tabs>
      </w:pPr>
    </w:p>
    <w:p w14:paraId="76836A78" w14:textId="2A986812" w:rsidR="00120F4D" w:rsidRDefault="00120F4D">
      <w:pPr>
        <w:tabs>
          <w:tab w:val="left" w:pos="9072"/>
        </w:tabs>
      </w:pPr>
    </w:p>
    <w:p w14:paraId="33DD325D" w14:textId="47E1D9A0" w:rsidR="00120F4D" w:rsidRDefault="00120F4D">
      <w:pPr>
        <w:tabs>
          <w:tab w:val="left" w:pos="9072"/>
        </w:tabs>
      </w:pPr>
    </w:p>
    <w:p w14:paraId="3E669FAC" w14:textId="77777777" w:rsidR="00120F4D" w:rsidRPr="0085668A" w:rsidRDefault="00120F4D">
      <w:pPr>
        <w:tabs>
          <w:tab w:val="left" w:pos="9072"/>
        </w:tabs>
        <w:rPr>
          <w:lang w:val="en-GB"/>
        </w:rPr>
      </w:pPr>
    </w:p>
    <w:sectPr w:rsidR="00120F4D" w:rsidRPr="0085668A" w:rsidSect="00F238AB">
      <w:headerReference w:type="default" r:id="rId16"/>
      <w:footerReference w:type="default" r:id="rId17"/>
      <w:pgSz w:w="11906" w:h="16838"/>
      <w:pgMar w:top="155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B9FB" w14:textId="77777777" w:rsidR="00491D7E" w:rsidRDefault="00491D7E">
      <w:r>
        <w:separator/>
      </w:r>
    </w:p>
  </w:endnote>
  <w:endnote w:type="continuationSeparator" w:id="0">
    <w:p w14:paraId="26110214" w14:textId="77777777" w:rsidR="00491D7E" w:rsidRDefault="0049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684F" w14:textId="0AF199A7" w:rsidR="00CB5F3F" w:rsidRPr="00156629" w:rsidRDefault="002E16F0" w:rsidP="00CB5F3F">
    <w:pPr>
      <w:tabs>
        <w:tab w:val="left" w:pos="9213"/>
      </w:tabs>
      <w:spacing w:line="276" w:lineRule="auto"/>
      <w:rPr>
        <w:iCs/>
      </w:rPr>
    </w:pPr>
    <w:r>
      <w:rPr>
        <w:i/>
      </w:rPr>
      <w:t xml:space="preserve">Methode </w:t>
    </w:r>
    <w:r w:rsidR="00C439BC">
      <w:rPr>
        <w:i/>
      </w:rPr>
      <w:t xml:space="preserve">Kritische Bildanalyse: Fallbeispiel </w:t>
    </w:r>
    <w:r w:rsidR="009E249F">
      <w:rPr>
        <w:i/>
      </w:rPr>
      <w:t>Transfeindlichkeit</w:t>
    </w:r>
    <w:r w:rsidR="00CB5F3F" w:rsidRPr="00156629">
      <w:rPr>
        <w:iCs/>
      </w:rPr>
      <w:tab/>
    </w:r>
    <w:r w:rsidR="00CB5F3F" w:rsidRPr="00156629">
      <w:rPr>
        <w:iCs/>
      </w:rPr>
      <w:fldChar w:fldCharType="begin"/>
    </w:r>
    <w:r w:rsidR="00CB5F3F" w:rsidRPr="00156629">
      <w:rPr>
        <w:iCs/>
      </w:rPr>
      <w:instrText>PAGE \* MERGEFORMAT</w:instrText>
    </w:r>
    <w:r w:rsidR="00CB5F3F" w:rsidRPr="00156629">
      <w:rPr>
        <w:iCs/>
      </w:rPr>
      <w:fldChar w:fldCharType="separate"/>
    </w:r>
    <w:r w:rsidR="00CB5F3F" w:rsidRPr="00156629">
      <w:rPr>
        <w:iCs/>
      </w:rPr>
      <w:t>1</w:t>
    </w:r>
    <w:r w:rsidR="00CB5F3F" w:rsidRPr="00156629">
      <w:rPr>
        <w:iCs/>
      </w:rPr>
      <w:fldChar w:fldCharType="end"/>
    </w:r>
  </w:p>
  <w:p w14:paraId="3301FFFB" w14:textId="74C6C299" w:rsidR="00FB2327" w:rsidRPr="00653531" w:rsidRDefault="00653531" w:rsidP="00C439BC">
    <w:pPr>
      <w:tabs>
        <w:tab w:val="left" w:pos="9213"/>
      </w:tabs>
      <w:rPr>
        <w:rFonts w:eastAsia="Arial" w:cs="Times New Roman"/>
      </w:rPr>
    </w:pPr>
    <w:r w:rsidRPr="00653531">
      <w:rPr>
        <w:rFonts w:eastAsia="Arial" w:cs="Times New Roman"/>
        <w:noProof/>
      </w:rPr>
      <w:drawing>
        <wp:anchor distT="0" distB="0" distL="114300" distR="114300" simplePos="0" relativeHeight="251659264" behindDoc="1" locked="0" layoutInCell="1" allowOverlap="1" wp14:anchorId="0C13AA09" wp14:editId="696ECED1">
          <wp:simplePos x="0" y="0"/>
          <wp:positionH relativeFrom="column">
            <wp:posOffset>2540</wp:posOffset>
          </wp:positionH>
          <wp:positionV relativeFrom="paragraph">
            <wp:posOffset>38735</wp:posOffset>
          </wp:positionV>
          <wp:extent cx="641350" cy="226060"/>
          <wp:effectExtent l="0" t="0" r="6350" b="2540"/>
          <wp:wrapTight wrapText="bothSides">
            <wp:wrapPolygon edited="0">
              <wp:start x="0" y="0"/>
              <wp:lineTo x="0" y="20022"/>
              <wp:lineTo x="21172" y="20022"/>
              <wp:lineTo x="21172" y="0"/>
              <wp:lineTo x="0" y="0"/>
            </wp:wrapPolygon>
          </wp:wrapTight>
          <wp:docPr id="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2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531">
      <w:rPr>
        <w:rFonts w:eastAsia="Arial" w:cs="Times New Roman"/>
        <w:sz w:val="16"/>
        <w:szCs w:val="16"/>
      </w:rPr>
      <w:t xml:space="preserve">Diese Praxismethode steht zur Nutzung unter </w:t>
    </w:r>
    <w:hyperlink r:id="rId2" w:tooltip="https://creativecommons.org/licenses/by-nc-sa/4.0/" w:history="1">
      <w:r w:rsidRPr="00653531">
        <w:rPr>
          <w:rFonts w:eastAsia="Arial" w:cs="Times New Roman"/>
          <w:color w:val="0563C1" w:themeColor="hyperlink"/>
          <w:sz w:val="16"/>
          <w:szCs w:val="16"/>
          <w:u w:val="single"/>
        </w:rPr>
        <w:t>CC BY-SA 4.0 Bedingungen</w:t>
      </w:r>
    </w:hyperlink>
    <w:r w:rsidRPr="00653531">
      <w:rPr>
        <w:rFonts w:eastAsia="Arial" w:cs="Times New Roman"/>
        <w:sz w:val="16"/>
        <w:szCs w:val="16"/>
      </w:rPr>
      <w:t xml:space="preserve"> (Namensnennung - Weitergabe unter gleichen Bedingungen) zur Verfügung.</w:t>
    </w:r>
    <w:r w:rsidR="00C439BC">
      <w:rPr>
        <w:rFonts w:eastAsia="Arial" w:cs="Times New Roman"/>
        <w:sz w:val="16"/>
        <w:szCs w:val="16"/>
      </w:rPr>
      <w:t xml:space="preserve"> </w:t>
    </w:r>
    <w:bookmarkStart w:id="0" w:name="_Hlk184216467"/>
    <w:r w:rsidR="00C439BC">
      <w:rPr>
        <w:rStyle w:val="docdata"/>
        <w:color w:val="000000"/>
        <w:sz w:val="16"/>
        <w:szCs w:val="16"/>
      </w:rPr>
      <w:t>Die Namensnennung sollte erfolgen: „Praxismethode: [Titel des Dokumentes] – GMK“.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4D2D" w14:textId="77777777" w:rsidR="00491D7E" w:rsidRDefault="00491D7E">
      <w:r>
        <w:separator/>
      </w:r>
    </w:p>
  </w:footnote>
  <w:footnote w:type="continuationSeparator" w:id="0">
    <w:p w14:paraId="4FAE138B" w14:textId="77777777" w:rsidR="00491D7E" w:rsidRDefault="0049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0AFA" w14:textId="0F791450" w:rsidR="00FB2327" w:rsidRDefault="00647C29">
    <w:pPr>
      <w:pStyle w:val="Kopfzeil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0CF73D" wp14:editId="3585FB3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2690" cy="8763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4" b="87233"/>
                  <a:stretch/>
                </pic:blipFill>
                <pic:spPr bwMode="auto">
                  <a:xfrm>
                    <a:off x="0" y="0"/>
                    <a:ext cx="755269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E4A">
      <w:rPr>
        <w:noProof/>
      </w:rPr>
      <mc:AlternateContent>
        <mc:Choice Requires="wpg">
          <w:drawing>
            <wp:anchor distT="0" distB="0" distL="115200" distR="115200" simplePos="0" relativeHeight="4096" behindDoc="0" locked="0" layoutInCell="1" allowOverlap="1" wp14:anchorId="406F7B1D" wp14:editId="0FD2DE9B">
              <wp:simplePos x="0" y="0"/>
              <wp:positionH relativeFrom="column">
                <wp:posOffset>-420588</wp:posOffset>
              </wp:positionH>
              <wp:positionV relativeFrom="paragraph">
                <wp:posOffset>-152400</wp:posOffset>
              </wp:positionV>
              <wp:extent cx="2914451" cy="46936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9996686" name=""/>
                      <pic:cNvPicPr>
                        <a:picLocks noChangeAspect="1"/>
                      </pic:cNvPicPr>
                    </pic:nvPicPr>
                    <pic:blipFill>
                      <a:blip r:embed="rId2"/>
                      <a:srcRect l="1523" t="39762" r="39879" b="27066"/>
                      <a:stretch/>
                    </pic:blipFill>
                    <pic:spPr bwMode="auto">
                      <a:xfrm>
                        <a:off x="0" y="0"/>
                        <a:ext cx="2914449" cy="4693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4096;o:allowoverlap:true;o:allowincell:true;mso-position-horizontal-relative:text;margin-left:-33.1pt;mso-position-horizontal:absolute;mso-position-vertical-relative:text;margin-top:-12.0pt;mso-position-vertical:absolute;width:229.5pt;height:37.0pt;" wrapcoords="0 0 100000 0 100000 100000 0 100000" stroked="false">
              <v:path textboxrect="0,0,0,0"/>
              <v:imagedata r:id="rId3" o:title=""/>
            </v:shape>
          </w:pict>
        </mc:Fallback>
      </mc:AlternateContent>
    </w:r>
    <w:r w:rsidR="00451E4A">
      <w:rPr>
        <w:noProof/>
      </w:rPr>
      <mc:AlternateContent>
        <mc:Choice Requires="wpg">
          <w:drawing>
            <wp:anchor distT="0" distB="0" distL="115200" distR="115200" simplePos="0" relativeHeight="7168" behindDoc="0" locked="0" layoutInCell="1" allowOverlap="1" wp14:anchorId="27B29655" wp14:editId="093E134C">
              <wp:simplePos x="0" y="0"/>
              <wp:positionH relativeFrom="column">
                <wp:posOffset>4273691</wp:posOffset>
              </wp:positionH>
              <wp:positionV relativeFrom="paragraph">
                <wp:posOffset>-159290</wp:posOffset>
              </wp:positionV>
              <wp:extent cx="1850543" cy="466725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7470369" name=""/>
                      <pic:cNvPicPr>
                        <a:picLocks noChangeAspect="1"/>
                      </pic:cNvPicPr>
                    </pic:nvPicPr>
                    <pic:blipFill>
                      <a:blip r:embed="rId2"/>
                      <a:srcRect l="59362" t="39762" r="3430" b="27251"/>
                      <a:stretch/>
                    </pic:blipFill>
                    <pic:spPr bwMode="auto">
                      <a:xfrm>
                        <a:off x="0" y="0"/>
                        <a:ext cx="1850541" cy="4667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1pt;mso-wrap-distance-top:0.0pt;mso-wrap-distance-right:9.1pt;mso-wrap-distance-bottom:0.0pt;z-index:7168;o:allowoverlap:true;o:allowincell:true;mso-position-horizontal-relative:text;margin-left:336.5pt;mso-position-horizontal:absolute;mso-position-vertical-relative:text;margin-top:-12.5pt;mso-position-vertical:absolute;width:145.7pt;height:36.8pt;" wrapcoords="0 0 100000 0 100000 100000 0 100000" stroked="false">
              <v:path textboxrect="0,0,0,0"/>
              <v:imagedata r:id="rId3" o:title=""/>
            </v:shape>
          </w:pict>
        </mc:Fallback>
      </mc:AlternateContent>
    </w:r>
  </w:p>
  <w:p w14:paraId="6B8EF1E8" w14:textId="77777777" w:rsidR="00FB2327" w:rsidRDefault="00FB23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354"/>
    <w:multiLevelType w:val="hybridMultilevel"/>
    <w:tmpl w:val="2370D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6F46"/>
    <w:multiLevelType w:val="hybridMultilevel"/>
    <w:tmpl w:val="1B6EAB42"/>
    <w:lvl w:ilvl="0" w:tplc="75C0E8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A368E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18F8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424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786B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4DB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ECB0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CCB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C856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B3F041B"/>
    <w:multiLevelType w:val="hybridMultilevel"/>
    <w:tmpl w:val="6082B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6100"/>
    <w:multiLevelType w:val="hybridMultilevel"/>
    <w:tmpl w:val="0C74F8FE"/>
    <w:lvl w:ilvl="0" w:tplc="BF70CD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246A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56E6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FC4F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969D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7ABB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D030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12D6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ACAE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7577522"/>
    <w:multiLevelType w:val="hybridMultilevel"/>
    <w:tmpl w:val="BF7A442C"/>
    <w:lvl w:ilvl="0" w:tplc="9B0242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D6D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5EFC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D02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C6E5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4E3A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2CFB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2E8F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B0B9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8ED4866"/>
    <w:multiLevelType w:val="hybridMultilevel"/>
    <w:tmpl w:val="72CED364"/>
    <w:lvl w:ilvl="0" w:tplc="2B9E9F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568A2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0CCE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61817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B492A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2CAD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E0E5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BA011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3E6D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FD826CD"/>
    <w:multiLevelType w:val="hybridMultilevel"/>
    <w:tmpl w:val="9B0A3B36"/>
    <w:lvl w:ilvl="0" w:tplc="D9A4192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0D2C1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56C2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681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346B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A40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8ABE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6A8C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1670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423540D"/>
    <w:multiLevelType w:val="hybridMultilevel"/>
    <w:tmpl w:val="A280AA24"/>
    <w:lvl w:ilvl="0" w:tplc="AB6856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9E444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2B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C2A1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2CCA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54B7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60D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8E0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6BC58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8513948"/>
    <w:multiLevelType w:val="hybridMultilevel"/>
    <w:tmpl w:val="8F44C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B4699"/>
    <w:multiLevelType w:val="hybridMultilevel"/>
    <w:tmpl w:val="5890EC24"/>
    <w:lvl w:ilvl="0" w:tplc="B57E48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0002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09621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BA59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08E0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DCC83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2E4D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DCA85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5855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302265"/>
    <w:multiLevelType w:val="hybridMultilevel"/>
    <w:tmpl w:val="48704A78"/>
    <w:lvl w:ilvl="0" w:tplc="5EF680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81E27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0096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84E7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C0B8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B52C3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17A3C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66D8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1A7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B5C5543"/>
    <w:multiLevelType w:val="hybridMultilevel"/>
    <w:tmpl w:val="78A6F914"/>
    <w:lvl w:ilvl="0" w:tplc="2650452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266A2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6D3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9CB1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7A85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D06A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E21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86CA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7CB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327"/>
    <w:rsid w:val="000411E4"/>
    <w:rsid w:val="00043DBB"/>
    <w:rsid w:val="00076004"/>
    <w:rsid w:val="00120F4D"/>
    <w:rsid w:val="00156629"/>
    <w:rsid w:val="002E16F0"/>
    <w:rsid w:val="00451E4A"/>
    <w:rsid w:val="00463026"/>
    <w:rsid w:val="00491D7E"/>
    <w:rsid w:val="005913DD"/>
    <w:rsid w:val="00647C29"/>
    <w:rsid w:val="00653531"/>
    <w:rsid w:val="006A2208"/>
    <w:rsid w:val="006A6B85"/>
    <w:rsid w:val="007968B6"/>
    <w:rsid w:val="00803A85"/>
    <w:rsid w:val="008173F8"/>
    <w:rsid w:val="0085668A"/>
    <w:rsid w:val="00867C3C"/>
    <w:rsid w:val="00896BB1"/>
    <w:rsid w:val="00974D06"/>
    <w:rsid w:val="009E249F"/>
    <w:rsid w:val="00AD1399"/>
    <w:rsid w:val="00C439BC"/>
    <w:rsid w:val="00CB5F3F"/>
    <w:rsid w:val="00D545AC"/>
    <w:rsid w:val="00DB0DF2"/>
    <w:rsid w:val="00DC15FE"/>
    <w:rsid w:val="00E04516"/>
    <w:rsid w:val="00E44A09"/>
    <w:rsid w:val="00F238AB"/>
    <w:rsid w:val="00FA7465"/>
    <w:rsid w:val="00FB2327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64B48"/>
  <w15:docId w15:val="{D2C217E2-8FAE-433C-81E7-04343D30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  <w:rPr>
      <w:rFonts w:ascii="Source Sans 3" w:hAnsi="Source Sans 3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240"/>
      <w:outlineLvl w:val="0"/>
    </w:pPr>
    <w:rPr>
      <w:rFonts w:eastAsia="Arial" w:cs="Arial"/>
      <w:b/>
      <w:sz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40" w:after="240"/>
      <w:outlineLvl w:val="1"/>
    </w:pPr>
    <w:rPr>
      <w:rFonts w:eastAsia="Arial" w:cs="Arial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40" w:after="240"/>
      <w:outlineLvl w:val="2"/>
    </w:pPr>
    <w:rPr>
      <w:rFonts w:eastAsia="Arial" w:cs="Arial"/>
      <w:b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link w:val="berschrift1"/>
    <w:uiPriority w:val="9"/>
    <w:rPr>
      <w:rFonts w:ascii="Source Sans 3" w:eastAsia="Arial" w:hAnsi="Source Sans 3" w:cs="Arial"/>
      <w:b/>
      <w:sz w:val="32"/>
      <w:szCs w:val="40"/>
    </w:rPr>
  </w:style>
  <w:style w:type="character" w:customStyle="1" w:styleId="berschrift2Zchn">
    <w:name w:val="Überschrift 2 Zchn"/>
    <w:link w:val="berschrift2"/>
    <w:uiPriority w:val="9"/>
    <w:rPr>
      <w:rFonts w:ascii="Source Sans 3" w:eastAsia="Arial" w:hAnsi="Source Sans 3" w:cs="Arial"/>
      <w:b/>
      <w:sz w:val="28"/>
    </w:rPr>
  </w:style>
  <w:style w:type="character" w:customStyle="1" w:styleId="berschrift3Zchn">
    <w:name w:val="Überschrift 3 Zchn"/>
    <w:link w:val="berschrift3"/>
    <w:uiPriority w:val="9"/>
    <w:rPr>
      <w:rFonts w:ascii="Source Sans 3" w:eastAsia="Arial" w:hAnsi="Source Sans 3" w:cs="Arial"/>
      <w:b/>
      <w:sz w:val="30"/>
      <w:szCs w:val="30"/>
    </w:rPr>
  </w:style>
  <w:style w:type="character" w:customStyle="1" w:styleId="berschrift4Zchn">
    <w:name w:val="Überschrift 4 Zchn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KopfzeileZchn">
    <w:name w:val="Kopfzeile Zchn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table" w:styleId="Gitternetztabelle2Akzent3">
    <w:name w:val="Grid Table 2 Accent 3"/>
    <w:basedOn w:val="NormaleTabelle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C9C9C9" w:themeColor="accent3" w:themeTint="99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single" w:sz="2" w:space="0" w:color="C9C9C9" w:themeColor="accent3" w:themeTint="99"/>
          <w:bottom w:val="none" w:sz="4" w:space="0" w:color="000000"/>
          <w:insideH w:val="none" w:sz="4" w:space="0" w:color="000000"/>
          <w:insideV w:val="none" w:sz="4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netztabelle4Akzent3">
    <w:name w:val="Grid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4" w:space="0" w:color="000000"/>
          <w:insideV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ntabelle3Akzent3">
    <w:name w:val="List Table 3 Accent 3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one" w:sz="4" w:space="0" w:color="000000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A5A5A5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A5A5A5" w:themeColor="accent3"/>
          <w:right w:val="none" w:sz="4" w:space="0" w:color="000000"/>
        </w:tcBorders>
      </w:tcPr>
    </w:tblStylePr>
  </w:style>
  <w:style w:type="table" w:styleId="Listentabelle4Akzent3">
    <w:name w:val="List Table 4 Accent 3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4" w:space="0" w:color="000000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docdata">
    <w:name w:val="docdata"/>
    <w:aliases w:val="docy,v5,1354,bqiaagaaeyqcaaagiaiaaaoxbaaabb8eaaaaaaaaaaaaaaaaaaaaaaaaaaaaaaaaaaaaaaaaaaaaaaaaaaaaaaaaaaaaaaaaaaaaaaaaaaaaaaaaaaaaaaaaaaaaaaaaaaaaaaaaaaaaaaaaaaaaaaaaaaaaaaaaaaaaaaaaaaaaaaaaaaaaaaaaaaaaaaaaaaaaaaaaaaaaaaaaaaaaaaaaaaaaaaaaaaaaaaaa"/>
    <w:basedOn w:val="Absatz-Standardschriftart"/>
    <w:rsid w:val="00C4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politische-medienkompetenz.de/unsere-schwerpunkte/fake-news-und-verschwoerungserzaehlungen/fake-new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itische-medienkompetenz.de/unsere-schwerpunkte/fake-news-und-verschwoerungserzaehlungen/fake-new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04F0EBC-F7B4-41BC-90A8-0AA734304C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Carolin Rössler</cp:lastModifiedBy>
  <cp:revision>24</cp:revision>
  <cp:lastPrinted>2024-05-24T11:26:00Z</cp:lastPrinted>
  <dcterms:created xsi:type="dcterms:W3CDTF">2024-04-25T10:14:00Z</dcterms:created>
  <dcterms:modified xsi:type="dcterms:W3CDTF">2024-12-10T09:48:00Z</dcterms:modified>
</cp:coreProperties>
</file>