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7830" w14:textId="77777777" w:rsidR="00864E63" w:rsidRPr="00DF0831" w:rsidRDefault="00D1384B" w:rsidP="00F70A86">
      <w:pPr>
        <w:pStyle w:val="berschrift1"/>
      </w:pPr>
      <w:r w:rsidRPr="00DF0831">
        <w:t>Hintergrundinformationen für Fachkräfte</w:t>
      </w:r>
    </w:p>
    <w:p w14:paraId="5D9D6F80" w14:textId="77777777" w:rsidR="00DF0831" w:rsidRDefault="00D1384B" w:rsidP="00F70A86">
      <w:pPr>
        <w:pStyle w:val="berschrift2"/>
      </w:pPr>
      <w:r w:rsidRPr="00DF0831">
        <w:t>Wer ist die Hamas?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9"/>
        <w:gridCol w:w="975"/>
      </w:tblGrid>
      <w:tr w:rsidR="00DF0831" w14:paraId="450E582C" w14:textId="77777777" w:rsidTr="00DF0831">
        <w:trPr>
          <w:trHeight w:val="3229"/>
        </w:trPr>
        <w:tc>
          <w:tcPr>
            <w:tcW w:w="9627" w:type="dxa"/>
            <w:gridSpan w:val="2"/>
          </w:tcPr>
          <w:p w14:paraId="7BCB65D3" w14:textId="77777777" w:rsidR="00DF0831" w:rsidRPr="00DF0831" w:rsidRDefault="00DF0831" w:rsidP="00CA1C9F">
            <w:pPr>
              <w:jc w:val="both"/>
              <w:rPr>
                <w:rFonts w:asciiTheme="minorHAnsi" w:hAnsiTheme="minorHAnsi"/>
                <w:b/>
                <w:sz w:val="36"/>
              </w:rPr>
            </w:pPr>
            <w:r w:rsidRPr="00DF0831">
              <w:t>Das Wort Hamas ist eine Abkürzung für Islamische Widerstandsbewegung, bedeutet aber auch "Eifer" auf Arabisch. Die Hamas entstand während der ersten Intifada 1987. Als radikaler Arm der Palästinenser*innen lehnt sie die Oslo-Abkommen ab, die Palästinenser-Präsident Jassir Arafat ab 1993 mit Israel schloss. Die Hamas besteht aus unterschiedlichen militärischen Gruppierungen, darunter die Kassam-Brigaden, die in den vergangenen Jahren viele Angriffe und Selbstmordattentate auf Israel verübt haben. Die Organisation umfasst auch Hilfsorganisationen. Die Gruppe unterhält im Gazastreifen ein breites Netz an Schulen und sozialen Einrichtungen, womit sie sich in der Bevölkerung Sympathien und Zulauf sichert. Immer wieder gibt es den Vorwurf, dass Hilfsgelder, die etwa die Europäische Union an Organisationen in Gaza zahlt, um die leidende Zivilbevölkerung zu unterstützen, teils auch bei Hamas-nahen Organisationen landet.</w:t>
            </w:r>
            <w:r>
              <w:t xml:space="preserve"> </w:t>
            </w:r>
          </w:p>
        </w:tc>
      </w:tr>
      <w:tr w:rsidR="00DF0831" w14:paraId="3DFC7D2B" w14:textId="77777777" w:rsidTr="00120994">
        <w:trPr>
          <w:trHeight w:val="972"/>
        </w:trPr>
        <w:tc>
          <w:tcPr>
            <w:tcW w:w="8647" w:type="dxa"/>
            <w:vAlign w:val="center"/>
          </w:tcPr>
          <w:p w14:paraId="52596806" w14:textId="77777777" w:rsidR="00DF0831" w:rsidRPr="00F70A86" w:rsidRDefault="00DF0831" w:rsidP="00120994">
            <w:pPr>
              <w:rPr>
                <w:bCs/>
                <w:i/>
                <w:iCs/>
              </w:rPr>
            </w:pPr>
            <w:r w:rsidRPr="00F70A86">
              <w:rPr>
                <w:i/>
              </w:rPr>
              <w:t xml:space="preserve">Quelle: </w:t>
            </w:r>
            <w:hyperlink r:id="rId11" w:tooltip="https://www.zdf.de/nachrichten/politik/ausland/hamas-radikale-palaestinenser-gruppe-100.html" w:history="1">
              <w:r w:rsidRPr="00F70A86">
                <w:rPr>
                  <w:rStyle w:val="Hyperlink"/>
                  <w:i/>
                </w:rPr>
                <w:t>https://www.zdf.de/nachrichten/politik/ausland/hamas-radikale-palaestinenser-gruppe-100.html</w:t>
              </w:r>
            </w:hyperlink>
          </w:p>
        </w:tc>
        <w:tc>
          <w:tcPr>
            <w:tcW w:w="980" w:type="dxa"/>
            <w:vAlign w:val="center"/>
          </w:tcPr>
          <w:p w14:paraId="4AF8986D" w14:textId="77777777" w:rsidR="00DF0831" w:rsidRDefault="00DF0831" w:rsidP="00F70A86">
            <w:r w:rsidRPr="00DF0831">
              <w:rPr>
                <w:noProof/>
              </w:rPr>
              <w:drawing>
                <wp:inline distT="0" distB="0" distL="0" distR="0" wp14:anchorId="203B3143" wp14:editId="19DD8B6B">
                  <wp:extent cx="405434" cy="405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49138" name=""/>
                          <pic:cNvPicPr>
                            <a:picLocks noChangeAspect="1"/>
                          </pic:cNvPicPr>
                        </pic:nvPicPr>
                        <pic:blipFill>
                          <a:blip r:embed="rId12" cstate="print">
                            <a:extLst>
                              <a:ext uri="{28A0092B-C50C-407E-A947-70E740481C1C}">
                                <a14:useLocalDpi xmlns:a14="http://schemas.microsoft.com/office/drawing/2010/main" val="0"/>
                              </a:ext>
                            </a:extLst>
                          </a:blip>
                          <a:stretch/>
                        </pic:blipFill>
                        <pic:spPr bwMode="auto">
                          <a:xfrm>
                            <a:off x="0" y="0"/>
                            <a:ext cx="408548" cy="408548"/>
                          </a:xfrm>
                          <a:prstGeom prst="rect">
                            <a:avLst/>
                          </a:prstGeom>
                        </pic:spPr>
                      </pic:pic>
                    </a:graphicData>
                  </a:graphic>
                </wp:inline>
              </w:drawing>
            </w:r>
          </w:p>
        </w:tc>
      </w:tr>
      <w:tr w:rsidR="00C81A3A" w14:paraId="7AAD9B96" w14:textId="77777777" w:rsidTr="00120994">
        <w:trPr>
          <w:trHeight w:val="80"/>
        </w:trPr>
        <w:tc>
          <w:tcPr>
            <w:tcW w:w="8647" w:type="dxa"/>
            <w:vAlign w:val="center"/>
          </w:tcPr>
          <w:p w14:paraId="1A5A9FDC" w14:textId="77777777" w:rsidR="00C81A3A" w:rsidRPr="00F70A86" w:rsidRDefault="00C81A3A" w:rsidP="00120994">
            <w:pPr>
              <w:rPr>
                <w:i/>
                <w:color w:val="0563C1"/>
              </w:rPr>
            </w:pPr>
            <w:r w:rsidRPr="00F70A86">
              <w:rPr>
                <w:rStyle w:val="Hyperlink"/>
                <w:i/>
                <w:color w:val="auto"/>
                <w:u w:val="none"/>
              </w:rPr>
              <w:t xml:space="preserve">Weitere Informationen: </w:t>
            </w:r>
            <w:hyperlink r:id="rId13" w:tooltip="https://www.bpb.de/themen/islamismus/dossier-islamismus/36365/hamas-und-palaestinensischer-islamischer-jihad/" w:history="1">
              <w:r w:rsidRPr="00F70A86">
                <w:rPr>
                  <w:rStyle w:val="Hyperlink"/>
                  <w:i/>
                </w:rPr>
                <w:t>https://www.bpb.de/themen/islamismus/dossier-islamismus/</w:t>
              </w:r>
              <w:r w:rsidRPr="00F70A86">
                <w:rPr>
                  <w:rStyle w:val="Hyperlink"/>
                  <w:i/>
                </w:rPr>
                <w:br/>
                <w:t>36365/</w:t>
              </w:r>
              <w:proofErr w:type="spellStart"/>
              <w:r w:rsidRPr="00F70A86">
                <w:rPr>
                  <w:rStyle w:val="Hyperlink"/>
                  <w:i/>
                </w:rPr>
                <w:t>hamas</w:t>
              </w:r>
              <w:proofErr w:type="spellEnd"/>
              <w:r w:rsidRPr="00F70A86">
                <w:rPr>
                  <w:rStyle w:val="Hyperlink"/>
                  <w:i/>
                </w:rPr>
                <w:t>-und-</w:t>
              </w:r>
              <w:proofErr w:type="spellStart"/>
              <w:r w:rsidRPr="00F70A86">
                <w:rPr>
                  <w:rStyle w:val="Hyperlink"/>
                  <w:i/>
                </w:rPr>
                <w:t>palaestinensischer</w:t>
              </w:r>
              <w:proofErr w:type="spellEnd"/>
              <w:r w:rsidRPr="00F70A86">
                <w:rPr>
                  <w:rStyle w:val="Hyperlink"/>
                  <w:i/>
                </w:rPr>
                <w:t>-islamischer-</w:t>
              </w:r>
              <w:proofErr w:type="spellStart"/>
              <w:r w:rsidRPr="00F70A86">
                <w:rPr>
                  <w:rStyle w:val="Hyperlink"/>
                  <w:i/>
                </w:rPr>
                <w:t>jihad</w:t>
              </w:r>
              <w:proofErr w:type="spellEnd"/>
              <w:r w:rsidRPr="00F70A86">
                <w:rPr>
                  <w:rStyle w:val="Hyperlink"/>
                  <w:i/>
                </w:rPr>
                <w:t>/</w:t>
              </w:r>
            </w:hyperlink>
            <w:r w:rsidRPr="00F70A86">
              <w:rPr>
                <w:rStyle w:val="Hyperlink"/>
                <w:i/>
                <w:color w:val="auto"/>
                <w:u w:val="none"/>
              </w:rPr>
              <w:t xml:space="preserve">  </w:t>
            </w:r>
          </w:p>
        </w:tc>
        <w:tc>
          <w:tcPr>
            <w:tcW w:w="980" w:type="dxa"/>
            <w:vAlign w:val="center"/>
          </w:tcPr>
          <w:p w14:paraId="21B3681B" w14:textId="77777777" w:rsidR="00C81A3A" w:rsidRPr="00DF0831" w:rsidRDefault="00C81A3A" w:rsidP="00F70A86">
            <w:r>
              <w:rPr>
                <w:noProof/>
              </w:rPr>
              <w:drawing>
                <wp:inline distT="0" distB="0" distL="0" distR="0" wp14:anchorId="633A4490" wp14:editId="4D652719">
                  <wp:extent cx="413385" cy="413385"/>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32376" name=""/>
                          <pic:cNvPicPr>
                            <a:picLocks noChangeAspect="1"/>
                          </pic:cNvPicPr>
                        </pic:nvPicPr>
                        <pic:blipFill>
                          <a:blip r:embed="rId14" cstate="print">
                            <a:extLst>
                              <a:ext uri="{28A0092B-C50C-407E-A947-70E740481C1C}">
                                <a14:useLocalDpi xmlns:a14="http://schemas.microsoft.com/office/drawing/2010/main" val="0"/>
                              </a:ext>
                            </a:extLst>
                          </a:blip>
                          <a:stretch/>
                        </pic:blipFill>
                        <pic:spPr bwMode="auto">
                          <a:xfrm>
                            <a:off x="0" y="0"/>
                            <a:ext cx="413385" cy="413385"/>
                          </a:xfrm>
                          <a:prstGeom prst="rect">
                            <a:avLst/>
                          </a:prstGeom>
                        </pic:spPr>
                      </pic:pic>
                    </a:graphicData>
                  </a:graphic>
                </wp:inline>
              </w:drawing>
            </w:r>
          </w:p>
        </w:tc>
      </w:tr>
    </w:tbl>
    <w:p w14:paraId="7136CA24" w14:textId="77777777" w:rsidR="00864E63" w:rsidRDefault="00864E63" w:rsidP="00F70A86">
      <w:pPr>
        <w:rPr>
          <w:rStyle w:val="Hyperlink"/>
          <w:i/>
          <w:sz w:val="20"/>
          <w:szCs w:val="20"/>
        </w:rPr>
      </w:pPr>
    </w:p>
    <w:p w14:paraId="5DF5C2A2" w14:textId="77777777" w:rsidR="00FF5D90" w:rsidRDefault="00D1384B" w:rsidP="00F70A86">
      <w:pPr>
        <w:pStyle w:val="berschrift2"/>
      </w:pPr>
      <w:r w:rsidRPr="00FF5D90">
        <w:t>Angriff der Hamas auf Israel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gridCol w:w="957"/>
      </w:tblGrid>
      <w:tr w:rsidR="00FF5D90" w14:paraId="719B670D" w14:textId="77777777" w:rsidTr="00F70A86">
        <w:trPr>
          <w:trHeight w:val="2886"/>
        </w:trPr>
        <w:tc>
          <w:tcPr>
            <w:tcW w:w="9354" w:type="dxa"/>
            <w:gridSpan w:val="2"/>
          </w:tcPr>
          <w:p w14:paraId="3838AEEC" w14:textId="77777777" w:rsidR="00FF5D90" w:rsidRPr="00F70A86" w:rsidRDefault="00F70A86" w:rsidP="00CA1C9F">
            <w:pPr>
              <w:jc w:val="both"/>
              <w:rPr>
                <w:b/>
              </w:rPr>
            </w:pPr>
            <w:r w:rsidRPr="00F70A86">
              <w:t>Der Nahostkonflikt hat eine neue Eskalationsstufe erreicht. Am 7.  Oktober 2023 hat die radikalislamische Terrorgruppe Hamas vom Gazastreifen aus Israel mit Raketen beschossen. Dabei wurden fast 1.500 Menschen getötet und rund 3.000 verletzt (Stand 19.10.2023). Der Terror der Hamas richtete sich mit Massakern insbesondere und gezielt gegen die israelische Zivilbevölkerung. Zudem verschleppte die Hamas mehr als 200 Menschen als Geiseln. Der Terror der Hamas bedeutet den Beginn eines weiteren Krieges im Nahen Osten. Israel hat als Reaktion auf die Terrorattacke eine massive Militäroperation gegen den von der Hamas kontrollierten Gazastreifen begonnen. Die Folgen des Terrors der Hamas für Israel, für die palästinensische Zivilbevölkerung, unter der es bereits Tausende Tote gibt, sowie für den Nahen Osten insgesamt sind noch nicht absehbar.</w:t>
            </w:r>
          </w:p>
        </w:tc>
      </w:tr>
      <w:tr w:rsidR="00FF5D90" w14:paraId="110DD5C8" w14:textId="77777777" w:rsidTr="00340FE9">
        <w:trPr>
          <w:trHeight w:val="758"/>
        </w:trPr>
        <w:tc>
          <w:tcPr>
            <w:tcW w:w="8397" w:type="dxa"/>
            <w:vAlign w:val="center"/>
          </w:tcPr>
          <w:p w14:paraId="71CD5D53" w14:textId="77777777" w:rsidR="00FF5D90" w:rsidRPr="00F70A86" w:rsidRDefault="00F70A86" w:rsidP="00F70A86">
            <w:pPr>
              <w:rPr>
                <w:bCs/>
                <w:i/>
                <w:iCs/>
              </w:rPr>
            </w:pPr>
            <w:r w:rsidRPr="00F70A86">
              <w:rPr>
                <w:bCs/>
                <w:i/>
                <w:iCs/>
              </w:rPr>
              <w:t xml:space="preserve">Quelle: </w:t>
            </w:r>
            <w:hyperlink r:id="rId15" w:tooltip="https://www.lpb-bw.de/nahostkonflikt" w:history="1">
              <w:r w:rsidRPr="00F70A86">
                <w:rPr>
                  <w:rStyle w:val="Hyperlink"/>
                  <w:bCs/>
                  <w:i/>
                  <w:iCs/>
                </w:rPr>
                <w:t>https://www.lpb-bw.de/nahostkonflikt</w:t>
              </w:r>
            </w:hyperlink>
            <w:r w:rsidRPr="00F70A86">
              <w:rPr>
                <w:bCs/>
                <w:i/>
                <w:iCs/>
              </w:rPr>
              <w:t xml:space="preserve"> </w:t>
            </w:r>
          </w:p>
        </w:tc>
        <w:tc>
          <w:tcPr>
            <w:tcW w:w="957" w:type="dxa"/>
            <w:vAlign w:val="center"/>
          </w:tcPr>
          <w:p w14:paraId="6E821FE0" w14:textId="77777777" w:rsidR="00FF5D90" w:rsidRPr="00F70A86" w:rsidRDefault="00F70A86" w:rsidP="00F70A86">
            <w:r w:rsidRPr="00F70A86">
              <w:rPr>
                <w:noProof/>
              </w:rPr>
              <w:drawing>
                <wp:inline distT="0" distB="0" distL="0" distR="0" wp14:anchorId="3C99BB4E" wp14:editId="70B37547">
                  <wp:extent cx="426720" cy="4267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5083" name=""/>
                          <pic:cNvPicPr>
                            <a:picLocks noChangeAspect="1"/>
                          </pic:cNvPicPr>
                        </pic:nvPicPr>
                        <pic:blipFill>
                          <a:blip r:embed="rId16" cstate="print">
                            <a:extLst>
                              <a:ext uri="{28A0092B-C50C-407E-A947-70E740481C1C}">
                                <a14:useLocalDpi xmlns:a14="http://schemas.microsoft.com/office/drawing/2010/main" val="0"/>
                              </a:ext>
                            </a:extLst>
                          </a:blip>
                          <a:stretch/>
                        </pic:blipFill>
                        <pic:spPr bwMode="auto">
                          <a:xfrm>
                            <a:off x="0" y="0"/>
                            <a:ext cx="426720" cy="426720"/>
                          </a:xfrm>
                          <a:prstGeom prst="rect">
                            <a:avLst/>
                          </a:prstGeom>
                        </pic:spPr>
                      </pic:pic>
                    </a:graphicData>
                  </a:graphic>
                </wp:inline>
              </w:drawing>
            </w:r>
          </w:p>
        </w:tc>
      </w:tr>
    </w:tbl>
    <w:p w14:paraId="5ACF0171" w14:textId="77777777" w:rsidR="00864E63" w:rsidRPr="00FF5D90" w:rsidRDefault="00864E63" w:rsidP="00F70A86"/>
    <w:p w14:paraId="52773733" w14:textId="77777777" w:rsidR="00F70A86" w:rsidRDefault="00D1384B" w:rsidP="00F70A86">
      <w:pPr>
        <w:pStyle w:val="berschrift2"/>
      </w:pPr>
      <w:r>
        <w:t xml:space="preserve">Die Hamas in </w:t>
      </w:r>
      <w:r w:rsidRPr="00F70A86">
        <w:t>Deutschland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1"/>
        <w:gridCol w:w="973"/>
      </w:tblGrid>
      <w:tr w:rsidR="00F70A86" w14:paraId="47002DA2" w14:textId="77777777" w:rsidTr="00F70A86">
        <w:trPr>
          <w:trHeight w:val="851"/>
        </w:trPr>
        <w:tc>
          <w:tcPr>
            <w:tcW w:w="9354" w:type="dxa"/>
            <w:gridSpan w:val="2"/>
          </w:tcPr>
          <w:p w14:paraId="428D6FA0" w14:textId="77777777" w:rsidR="00F70A86" w:rsidRPr="00DF0831" w:rsidRDefault="00340FE9" w:rsidP="00CA1C9F">
            <w:pPr>
              <w:jc w:val="both"/>
              <w:rPr>
                <w:rFonts w:asciiTheme="minorHAnsi" w:hAnsiTheme="minorHAnsi"/>
                <w:b/>
                <w:sz w:val="36"/>
              </w:rPr>
            </w:pPr>
            <w:r>
              <w:rPr>
                <w:rStyle w:val="Hyperlink"/>
                <w:iCs/>
                <w:color w:val="auto"/>
                <w:szCs w:val="24"/>
                <w:u w:val="none"/>
              </w:rPr>
              <w:t>Am 2. November 2023 hat Bundesinnenministerin Nancy Faeser die Betätigung der Terrororganisation Hamas in Deutschland verboten. Die Verbotsverfügung beinhaltet neben den offiziellen Wappen auch die Parole „Vom Fluss bis zum Meer“. Die Strafbarkeit der Verwendung der Parole ist aktuell in den Rechtswissenschaften sowie Gerichten umstritten, ebenso zeichnet sich bei den Strafverfolgungsbehörden keine klare Linie ab, wie mit dem Verbot verfahren werden soll.</w:t>
            </w:r>
          </w:p>
        </w:tc>
      </w:tr>
      <w:tr w:rsidR="00F70A86" w14:paraId="2EBBD89F" w14:textId="77777777" w:rsidTr="00F70A86">
        <w:tc>
          <w:tcPr>
            <w:tcW w:w="8381" w:type="dxa"/>
            <w:vAlign w:val="bottom"/>
          </w:tcPr>
          <w:p w14:paraId="6CE377E4" w14:textId="77777777" w:rsidR="00F70A86" w:rsidRPr="00340FE9" w:rsidRDefault="00340FE9" w:rsidP="00327CD6">
            <w:pPr>
              <w:pBdr>
                <w:top w:val="none" w:sz="4" w:space="0" w:color="000000"/>
                <w:left w:val="none" w:sz="4" w:space="0" w:color="000000"/>
                <w:bottom w:val="none" w:sz="4" w:space="0" w:color="000000"/>
                <w:right w:val="none" w:sz="4" w:space="0" w:color="000000"/>
              </w:pBdr>
              <w:spacing w:before="120" w:after="240"/>
              <w:outlineLvl w:val="1"/>
              <w:rPr>
                <w:bCs/>
                <w:i/>
                <w:iCs/>
              </w:rPr>
            </w:pPr>
            <w:r w:rsidRPr="00340FE9">
              <w:rPr>
                <w:rStyle w:val="Hyperlink"/>
                <w:i/>
                <w:color w:val="auto"/>
                <w:u w:val="none"/>
              </w:rPr>
              <w:lastRenderedPageBreak/>
              <w:t xml:space="preserve">Quelle: </w:t>
            </w:r>
            <w:hyperlink r:id="rId17" w:tooltip="https://www.lto.de/recht/hintergruende/h/ovg-bremen-1b16324-palaestina-demonstration-versammlung-parole-from-the-river-to-the-sea/" w:history="1">
              <w:r w:rsidRPr="00340FE9">
                <w:rPr>
                  <w:rStyle w:val="Hyperlink"/>
                  <w:i/>
                </w:rPr>
                <w:t>https://www.lto.de/recht/hintergruende/h/ovg-bremen-1b16324-palaestina-demonstration-versammlung-parole-from-the-river-to-the-sea/</w:t>
              </w:r>
            </w:hyperlink>
          </w:p>
        </w:tc>
        <w:tc>
          <w:tcPr>
            <w:tcW w:w="973" w:type="dxa"/>
            <w:vAlign w:val="center"/>
          </w:tcPr>
          <w:p w14:paraId="6D7B5013" w14:textId="77777777" w:rsidR="00F70A86" w:rsidRDefault="00340FE9" w:rsidP="00327CD6">
            <w:r>
              <w:rPr>
                <w:noProof/>
              </w:rPr>
              <w:drawing>
                <wp:inline distT="0" distB="0" distL="0" distR="0" wp14:anchorId="2FA70BBF" wp14:editId="367A680B">
                  <wp:extent cx="414000" cy="414000"/>
                  <wp:effectExtent l="0" t="0" r="5715"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31356" name=""/>
                          <pic:cNvPicPr>
                            <a:picLocks noChangeAspect="1"/>
                          </pic:cNvPicPr>
                        </pic:nvPicPr>
                        <pic:blipFill>
                          <a:blip r:embed="rId18" cstate="print">
                            <a:extLst>
                              <a:ext uri="{28A0092B-C50C-407E-A947-70E740481C1C}">
                                <a14:useLocalDpi xmlns:a14="http://schemas.microsoft.com/office/drawing/2010/main" val="0"/>
                              </a:ext>
                            </a:extLst>
                          </a:blip>
                          <a:stretch/>
                        </pic:blipFill>
                        <pic:spPr bwMode="auto">
                          <a:xfrm>
                            <a:off x="0" y="0"/>
                            <a:ext cx="414000" cy="414000"/>
                          </a:xfrm>
                          <a:prstGeom prst="rect">
                            <a:avLst/>
                          </a:prstGeom>
                        </pic:spPr>
                      </pic:pic>
                    </a:graphicData>
                  </a:graphic>
                </wp:inline>
              </w:drawing>
            </w:r>
          </w:p>
        </w:tc>
      </w:tr>
      <w:tr w:rsidR="00340FE9" w14:paraId="701C61FF" w14:textId="77777777" w:rsidTr="00F871BD">
        <w:tc>
          <w:tcPr>
            <w:tcW w:w="9354" w:type="dxa"/>
            <w:gridSpan w:val="2"/>
            <w:vAlign w:val="bottom"/>
          </w:tcPr>
          <w:p w14:paraId="77721F01" w14:textId="77777777" w:rsidR="00340FE9" w:rsidRDefault="00340FE9" w:rsidP="00CA1C9F">
            <w:pPr>
              <w:jc w:val="both"/>
              <w:rPr>
                <w:noProof/>
              </w:rPr>
            </w:pPr>
            <w:r>
              <w:rPr>
                <w:rStyle w:val="Hyperlink"/>
                <w:iCs/>
                <w:color w:val="auto"/>
                <w:szCs w:val="24"/>
                <w:u w:val="none"/>
              </w:rPr>
              <w:t>Das Bundesamt für Verfassungsschutz rechnet der Hamas in Deutschland etwa 450 Mitglieder zu. Ihre Aktivitäten reichen nach derzeitigen Erkenntnissen von Sympathiebekundungen und Propagandaaktivitäten bis hin zu Finanzierungs- oder Spendensammelaktivitäten. Damit soll die Kernorganisation im Ausland gestärkt werden. Die Mitglieder und Anhänger der Hamas in Deutschland setzen sich darüber hinaus dafür ein, den politischen und gesellschaftlichen Diskurs in Deutschland im Sinne der Hamas zu beeinflussen. Gewalttätige Aktionen der Hamas fanden in Deutschland bisher nicht statt.</w:t>
            </w:r>
          </w:p>
        </w:tc>
      </w:tr>
      <w:tr w:rsidR="00340FE9" w14:paraId="172BA29C" w14:textId="77777777" w:rsidTr="00F70A86">
        <w:tc>
          <w:tcPr>
            <w:tcW w:w="8381" w:type="dxa"/>
            <w:vAlign w:val="bottom"/>
          </w:tcPr>
          <w:p w14:paraId="0BE85E90" w14:textId="77777777" w:rsidR="00340FE9" w:rsidRDefault="00340FE9" w:rsidP="00327CD6">
            <w:pPr>
              <w:pBdr>
                <w:top w:val="none" w:sz="4" w:space="0" w:color="000000"/>
                <w:left w:val="none" w:sz="4" w:space="0" w:color="000000"/>
                <w:bottom w:val="none" w:sz="4" w:space="0" w:color="000000"/>
                <w:right w:val="none" w:sz="4" w:space="0" w:color="000000"/>
              </w:pBdr>
              <w:spacing w:before="120" w:after="240"/>
              <w:outlineLvl w:val="1"/>
              <w:rPr>
                <w:bCs/>
                <w:i/>
                <w:iCs/>
                <w:sz w:val="24"/>
              </w:rPr>
            </w:pPr>
            <w:r w:rsidRPr="00F70A86">
              <w:rPr>
                <w:rStyle w:val="Hyperlink"/>
                <w:i/>
                <w:color w:val="auto"/>
                <w:u w:val="none"/>
              </w:rPr>
              <w:t>Quelle:</w:t>
            </w:r>
            <w:r w:rsidRPr="00F70A86">
              <w:rPr>
                <w:rStyle w:val="Hyperlink"/>
                <w:i/>
              </w:rPr>
              <w:t xml:space="preserve"> </w:t>
            </w:r>
            <w:hyperlink r:id="rId19" w:tooltip="https://www.bmi.bund.de/DE/themen/sicherheit/extremismus/vereinsverbote/vereinsverbote-node" w:history="1">
              <w:r w:rsidRPr="00F70A86">
                <w:rPr>
                  <w:rStyle w:val="Hyperlink"/>
                  <w:i/>
                </w:rPr>
                <w:t>https://www.bmi.bund.de/DE/themen/sicherheit/extremismus/vereinsverbote/</w:t>
              </w:r>
              <w:r w:rsidRPr="00F70A86">
                <w:rPr>
                  <w:rStyle w:val="Hyperlink"/>
                  <w:i/>
                </w:rPr>
                <w:br/>
              </w:r>
              <w:proofErr w:type="spellStart"/>
              <w:r w:rsidRPr="00F70A86">
                <w:rPr>
                  <w:rStyle w:val="Hyperlink"/>
                  <w:i/>
                </w:rPr>
                <w:t>vereinsverbote-node</w:t>
              </w:r>
              <w:proofErr w:type="spellEnd"/>
            </w:hyperlink>
          </w:p>
        </w:tc>
        <w:tc>
          <w:tcPr>
            <w:tcW w:w="973" w:type="dxa"/>
            <w:vAlign w:val="center"/>
          </w:tcPr>
          <w:p w14:paraId="6C807594" w14:textId="77777777" w:rsidR="00340FE9" w:rsidRDefault="00340FE9" w:rsidP="00327CD6">
            <w:pPr>
              <w:rPr>
                <w:noProof/>
              </w:rPr>
            </w:pPr>
            <w:r>
              <w:rPr>
                <w:rStyle w:val="Hyperlink"/>
                <w:iCs/>
                <w:noProof/>
                <w:color w:val="auto"/>
                <w:szCs w:val="24"/>
                <w:u w:val="none"/>
              </w:rPr>
              <w:drawing>
                <wp:inline distT="0" distB="0" distL="0" distR="0" wp14:anchorId="10F636AE" wp14:editId="509C6C07">
                  <wp:extent cx="413385" cy="413385"/>
                  <wp:effectExtent l="0" t="0" r="571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2123" name=""/>
                          <pic:cNvPicPr>
                            <a:picLocks noChangeAspect="1"/>
                          </pic:cNvPicPr>
                        </pic:nvPicPr>
                        <pic:blipFill>
                          <a:blip r:embed="rId20" cstate="print">
                            <a:extLst>
                              <a:ext uri="{28A0092B-C50C-407E-A947-70E740481C1C}">
                                <a14:useLocalDpi xmlns:a14="http://schemas.microsoft.com/office/drawing/2010/main" val="0"/>
                              </a:ext>
                            </a:extLst>
                          </a:blip>
                          <a:stretch/>
                        </pic:blipFill>
                        <pic:spPr bwMode="auto">
                          <a:xfrm>
                            <a:off x="0" y="0"/>
                            <a:ext cx="413385" cy="413385"/>
                          </a:xfrm>
                          <a:prstGeom prst="rect">
                            <a:avLst/>
                          </a:prstGeom>
                        </pic:spPr>
                      </pic:pic>
                    </a:graphicData>
                  </a:graphic>
                </wp:inline>
              </w:drawing>
            </w:r>
          </w:p>
        </w:tc>
      </w:tr>
    </w:tbl>
    <w:p w14:paraId="0009E742" w14:textId="77777777" w:rsidR="00864E63" w:rsidRDefault="00340FE9" w:rsidP="00F70A86">
      <w:pPr>
        <w:rPr>
          <w:rStyle w:val="Hyperlink"/>
          <w:i/>
          <w:sz w:val="20"/>
        </w:rPr>
      </w:pPr>
      <w:r>
        <w:rPr>
          <w:noProof/>
        </w:rPr>
        <w:drawing>
          <wp:anchor distT="0" distB="0" distL="115200" distR="115200" simplePos="0" relativeHeight="251670528" behindDoc="0" locked="0" layoutInCell="1" allowOverlap="1" wp14:anchorId="1BE938F0" wp14:editId="5D3A1458">
            <wp:simplePos x="0" y="0"/>
            <wp:positionH relativeFrom="column">
              <wp:posOffset>5338697</wp:posOffset>
            </wp:positionH>
            <wp:positionV relativeFrom="paragraph">
              <wp:posOffset>512098</wp:posOffset>
            </wp:positionV>
            <wp:extent cx="414000" cy="4140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90533" name=""/>
                    <pic:cNvPicPr>
                      <a:picLocks noChangeAspect="1"/>
                    </pic:cNvPicPr>
                  </pic:nvPicPr>
                  <pic:blipFill>
                    <a:blip r:embed="rId21"/>
                    <a:stretch/>
                  </pic:blipFill>
                  <pic:spPr bwMode="auto">
                    <a:xfrm>
                      <a:off x="0" y="0"/>
                      <a:ext cx="414000" cy="414000"/>
                    </a:xfrm>
                    <a:prstGeom prst="rect">
                      <a:avLst/>
                    </a:prstGeom>
                  </pic:spPr>
                </pic:pic>
              </a:graphicData>
            </a:graphic>
          </wp:anchor>
        </w:drawing>
      </w:r>
      <w:r w:rsidRPr="00F70A86">
        <w:rPr>
          <w:i/>
          <w:noProof/>
        </w:rPr>
        <mc:AlternateContent>
          <mc:Choice Requires="wps">
            <w:drawing>
              <wp:anchor distT="0" distB="0" distL="115200" distR="115200" simplePos="0" relativeHeight="5120" behindDoc="0" locked="0" layoutInCell="1" allowOverlap="1" wp14:anchorId="182B66E9" wp14:editId="3BC1FBEC">
                <wp:simplePos x="0" y="0"/>
                <wp:positionH relativeFrom="margin">
                  <wp:posOffset>-5511</wp:posOffset>
                </wp:positionH>
                <wp:positionV relativeFrom="paragraph">
                  <wp:posOffset>203236</wp:posOffset>
                </wp:positionV>
                <wp:extent cx="5902665" cy="971550"/>
                <wp:effectExtent l="0" t="0" r="22225" b="19050"/>
                <wp:wrapTopAndBottom/>
                <wp:docPr id="7" name="Textfeld 2"/>
                <wp:cNvGraphicFramePr/>
                <a:graphic xmlns:a="http://schemas.openxmlformats.org/drawingml/2006/main">
                  <a:graphicData uri="http://schemas.microsoft.com/office/word/2010/wordprocessingShape">
                    <wps:wsp>
                      <wps:cNvSpPr txBox="1"/>
                      <wps:spPr bwMode="auto">
                        <a:xfrm>
                          <a:off x="0" y="0"/>
                          <a:ext cx="5902665" cy="971550"/>
                        </a:xfrm>
                        <a:prstGeom prst="rect">
                          <a:avLst/>
                        </a:prstGeom>
                        <a:solidFill>
                          <a:srgbClr val="D8DCF4"/>
                        </a:solidFill>
                        <a:ln w="6350">
                          <a:solidFill>
                            <a:srgbClr val="D8DCF4"/>
                          </a:solidFill>
                        </a:ln>
                      </wps:spPr>
                      <wps:txbx>
                        <w:txbxContent>
                          <w:p w14:paraId="283A0730" w14:textId="77777777" w:rsidR="00864E63" w:rsidRDefault="00D1384B" w:rsidP="00340FE9">
                            <w:pPr>
                              <w:pStyle w:val="berschrift4"/>
                              <w:spacing w:before="240" w:line="120" w:lineRule="atLeast"/>
                            </w:pPr>
                            <w:r>
                              <w:t xml:space="preserve">Webvideo Israel und Hamas: Die Karten werden neu gemischt | </w:t>
                            </w:r>
                            <w:r>
                              <w:br/>
                              <w:t>Mit offenen Karten - Im Fokus | ARTE</w:t>
                            </w:r>
                          </w:p>
                          <w:p w14:paraId="55327AED" w14:textId="77777777" w:rsidR="00864E63" w:rsidRDefault="002B7C74" w:rsidP="00340FE9">
                            <w:pPr>
                              <w:spacing w:line="120" w:lineRule="atLeast"/>
                              <w:rPr>
                                <w:b/>
                                <w:bCs/>
                                <w:sz w:val="28"/>
                                <w:szCs w:val="28"/>
                              </w:rPr>
                            </w:pPr>
                            <w:hyperlink r:id="rId22" w:tooltip="https://www.youtube.com/watch?v=YB46yA7ken0" w:history="1">
                              <w:r w:rsidR="00D1384B">
                                <w:rPr>
                                  <w:rStyle w:val="Hyperlink"/>
                                  <w:b/>
                                  <w:bCs/>
                                  <w:sz w:val="28"/>
                                  <w:szCs w:val="28"/>
                                </w:rPr>
                                <w:t>https://www.youtube.com/watch?v=YB46yA7ken0</w:t>
                              </w:r>
                            </w:hyperlink>
                            <w:r w:rsidR="00D1384B">
                              <w:rPr>
                                <w:b/>
                                <w:bCs/>
                                <w:sz w:val="28"/>
                                <w:szCs w:val="28"/>
                              </w:rPr>
                              <w:t xml:space="preserve"> </w:t>
                            </w:r>
                          </w:p>
                        </w:txbxContent>
                      </wps:txbx>
                      <wps:bodyPr vertOverflow="overflow" horzOverflow="clip" vert="horz" wrap="square" lIns="91440" tIns="45720" rIns="91440" bIns="45720" numCol="1" spcCol="0" rtlCol="0" fromWordArt="0" anchor="t" anchorCtr="0" forceAA="0" compatLnSpc="0"/>
                    </wps:wsp>
                  </a:graphicData>
                </a:graphic>
                <wp14:sizeRelH relativeFrom="margin">
                  <wp14:pctWidth>0</wp14:pctWidth>
                </wp14:sizeRelH>
              </wp:anchor>
            </w:drawing>
          </mc:Choice>
          <mc:Fallback>
            <w:pict>
              <v:shapetype w14:anchorId="182B66E9" id="_x0000_t202" coordsize="21600,21600" o:spt="202" path="m,l,21600r21600,l21600,xe">
                <v:stroke joinstyle="miter"/>
                <v:path gradientshapeok="t" o:connecttype="rect"/>
              </v:shapetype>
              <v:shape id="Textfeld 2" o:spid="_x0000_s1026" type="#_x0000_t202" style="position:absolute;margin-left:-.45pt;margin-top:16pt;width:464.8pt;height:76.5pt;z-index:5120;visibility:visible;mso-wrap-style:square;mso-width-percent:0;mso-wrap-distance-left:3.2mm;mso-wrap-distance-top:0;mso-wrap-distance-right:3.2mm;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" fillcolor="#d8dcf4" strokecolor="#d8dcf4" strokeweight=".5pt">
                <v:textbox>
                  <w:txbxContent>
                    <w:p w14:paraId="283A0730" w14:textId="77777777" w:rsidR="00864E63" w:rsidRDefault="00D1384B" w:rsidP="00340FE9">
                      <w:pPr>
                        <w:pStyle w:val="berschrift4"/>
                        <w:spacing w:before="240" w:line="120" w:lineRule="atLeast"/>
                      </w:pPr>
                      <w:r>
                        <w:t xml:space="preserve">Webvideo Israel und Hamas: Die Karten werden neu gemischt | </w:t>
                      </w:r>
                      <w:r>
                        <w:br/>
                        <w:t>Mit offenen Karten - Im Fokus | ARTE</w:t>
                      </w:r>
                    </w:p>
                    <w:p w14:paraId="55327AED" w14:textId="77777777" w:rsidR="00864E63" w:rsidRDefault="004F290F" w:rsidP="00340FE9">
                      <w:pPr>
                        <w:spacing w:line="120" w:lineRule="atLeast"/>
                        <w:rPr>
                          <w:b/>
                          <w:bCs/>
                          <w:sz w:val="28"/>
                          <w:szCs w:val="28"/>
                        </w:rPr>
                      </w:pPr>
                      <w:hyperlink r:id="rId23" w:tooltip="https://www.youtube.com/watch?v=YB46yA7ken0" w:history="1">
                        <w:r w:rsidR="00D1384B">
                          <w:rPr>
                            <w:rStyle w:val="Hyperlink"/>
                            <w:b/>
                            <w:bCs/>
                            <w:sz w:val="28"/>
                            <w:szCs w:val="28"/>
                          </w:rPr>
                          <w:t>https://www.youtube.com/watch?v=YB46yA7ken0</w:t>
                        </w:r>
                      </w:hyperlink>
                      <w:r w:rsidR="00D1384B">
                        <w:rPr>
                          <w:b/>
                          <w:bCs/>
                          <w:sz w:val="28"/>
                          <w:szCs w:val="28"/>
                        </w:rPr>
                        <w:t xml:space="preserve"> </w:t>
                      </w:r>
                    </w:p>
                  </w:txbxContent>
                </v:textbox>
                <w10:wrap type="topAndBottom" anchorx="margin"/>
              </v:shape>
            </w:pict>
          </mc:Fallback>
        </mc:AlternateContent>
      </w:r>
    </w:p>
    <w:p w14:paraId="16F98561" w14:textId="77777777" w:rsidR="00340FE9" w:rsidRDefault="00340FE9" w:rsidP="00340FE9">
      <w:pPr>
        <w:pStyle w:val="berschrift2"/>
      </w:pPr>
    </w:p>
    <w:p w14:paraId="7D7E88C4" w14:textId="77777777" w:rsidR="00F70A86" w:rsidRPr="00340FE9" w:rsidRDefault="00D1384B" w:rsidP="00340FE9">
      <w:pPr>
        <w:pStyle w:val="berschrift2"/>
      </w:pPr>
      <w:r w:rsidRPr="00340FE9">
        <w:t>Was ist Islamismus?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1"/>
        <w:gridCol w:w="973"/>
      </w:tblGrid>
      <w:tr w:rsidR="00F70A86" w14:paraId="0C1F185B" w14:textId="77777777" w:rsidTr="00327CD6">
        <w:trPr>
          <w:trHeight w:val="851"/>
        </w:trPr>
        <w:tc>
          <w:tcPr>
            <w:tcW w:w="9354" w:type="dxa"/>
            <w:gridSpan w:val="2"/>
          </w:tcPr>
          <w:p w14:paraId="7A51CD57" w14:textId="77777777" w:rsidR="00340FE9" w:rsidRDefault="00340FE9" w:rsidP="00CA1C9F">
            <w:pPr>
              <w:jc w:val="both"/>
              <w:rPr>
                <w:i/>
                <w:color w:val="0563C1"/>
                <w:sz w:val="20"/>
                <w:u w:val="single"/>
              </w:rPr>
            </w:pPr>
            <w:r>
              <w:t>Unter Islamismus versteht man eine Form des religiös begründeten Extremismus. Religiös begründeter Extremismus wiederum ist ein Oberbegriff für Extremismen, bei denen die Ideologie durch eine Religion begründet wird. Dieses Phänomen findet man in fast allen großen Religionen. Wichtig zu betonen ist, dass nicht die einzelnen Religionen an sich extremistisch sind. Vielmehr werden sie von extremistischen Gruppen für ihre Zwecke instrumentalisiert. Islamist*innen beispielsweise begründen ihre politische Ideologie mit dem, was sie als den wahren Islam verstehen. Es gibt jedoch nicht den einen Islamismus, denn es lassen sich diverse Gruppierungen und Strömungen unter diesen Begriff fassen, die zum Teil unterschiedliche Ziele verfolgen. Es wäre an dieser Stelle also ebenfalls richtig von Islamismen zu sprechen. Trotz ihrer Vielfalt gleichen sich die verschiedenen islamistischen Gruppierungen allerdings in vielen Punkten:</w:t>
            </w:r>
          </w:p>
          <w:p w14:paraId="2F3F8043" w14:textId="77777777" w:rsidR="00340FE9" w:rsidRDefault="00340FE9" w:rsidP="00CA1C9F">
            <w:pPr>
              <w:pStyle w:val="Listenabsatz"/>
              <w:numPr>
                <w:ilvl w:val="0"/>
                <w:numId w:val="8"/>
              </w:numPr>
              <w:jc w:val="both"/>
            </w:pPr>
            <w:r>
              <w:t>Absoluter Wahrheitsanspruch</w:t>
            </w:r>
          </w:p>
          <w:p w14:paraId="32285558" w14:textId="77777777" w:rsidR="00340FE9" w:rsidRDefault="00340FE9" w:rsidP="00CA1C9F">
            <w:pPr>
              <w:pStyle w:val="Listenabsatz"/>
              <w:numPr>
                <w:ilvl w:val="0"/>
                <w:numId w:val="8"/>
              </w:numPr>
              <w:jc w:val="both"/>
            </w:pPr>
            <w:r>
              <w:t>Dualistische Weltsicht</w:t>
            </w:r>
          </w:p>
          <w:p w14:paraId="505EE3FD" w14:textId="77777777" w:rsidR="00340FE9" w:rsidRDefault="00340FE9" w:rsidP="00CA1C9F">
            <w:pPr>
              <w:pStyle w:val="Listenabsatz"/>
              <w:numPr>
                <w:ilvl w:val="0"/>
                <w:numId w:val="8"/>
              </w:numPr>
              <w:jc w:val="both"/>
            </w:pPr>
            <w:r>
              <w:t>Verachtung der kulturellen Moderne</w:t>
            </w:r>
          </w:p>
          <w:p w14:paraId="635D44A3" w14:textId="77777777" w:rsidR="00F70A86" w:rsidRPr="00340FE9" w:rsidRDefault="00340FE9" w:rsidP="00CA1C9F">
            <w:pPr>
              <w:pStyle w:val="Listenabsatz"/>
              <w:numPr>
                <w:ilvl w:val="0"/>
                <w:numId w:val="8"/>
              </w:numPr>
              <w:jc w:val="both"/>
            </w:pPr>
            <w:r>
              <w:t>Aktives Streben, eine islamistische Herrschafts- und Gesellschaftsordnung zu etablieren</w:t>
            </w:r>
          </w:p>
        </w:tc>
      </w:tr>
      <w:tr w:rsidR="00F70A86" w14:paraId="65039227" w14:textId="77777777" w:rsidTr="00327CD6">
        <w:tc>
          <w:tcPr>
            <w:tcW w:w="8381" w:type="dxa"/>
            <w:vAlign w:val="bottom"/>
          </w:tcPr>
          <w:p w14:paraId="1FF60732" w14:textId="77777777" w:rsidR="00F70A86" w:rsidRDefault="00340FE9" w:rsidP="00327CD6">
            <w:pPr>
              <w:pBdr>
                <w:top w:val="none" w:sz="4" w:space="0" w:color="000000"/>
                <w:left w:val="none" w:sz="4" w:space="0" w:color="000000"/>
                <w:bottom w:val="none" w:sz="4" w:space="0" w:color="000000"/>
                <w:right w:val="none" w:sz="4" w:space="0" w:color="000000"/>
              </w:pBdr>
              <w:spacing w:before="120" w:after="240"/>
              <w:outlineLvl w:val="1"/>
              <w:rPr>
                <w:bCs/>
                <w:i/>
                <w:iCs/>
                <w:sz w:val="24"/>
              </w:rPr>
            </w:pPr>
            <w:r>
              <w:rPr>
                <w:i/>
              </w:rPr>
              <w:t xml:space="preserve">Quelle und weitere Informationen: </w:t>
            </w:r>
            <w:hyperlink r:id="rId24" w:tooltip="https://www.bag-relex.de/wissen/islamismuspraevention/" w:history="1">
              <w:r>
                <w:rPr>
                  <w:rStyle w:val="Hyperlink"/>
                  <w:i/>
                </w:rPr>
                <w:t>https://www.bag-relex.de/wissen/</w:t>
              </w:r>
              <w:r>
                <w:rPr>
                  <w:rStyle w:val="Hyperlink"/>
                  <w:i/>
                </w:rPr>
                <w:br/>
              </w:r>
              <w:proofErr w:type="spellStart"/>
              <w:r>
                <w:rPr>
                  <w:rStyle w:val="Hyperlink"/>
                  <w:i/>
                </w:rPr>
                <w:t>islamismuspraevention</w:t>
              </w:r>
              <w:proofErr w:type="spellEnd"/>
            </w:hyperlink>
          </w:p>
        </w:tc>
        <w:tc>
          <w:tcPr>
            <w:tcW w:w="973" w:type="dxa"/>
            <w:vAlign w:val="center"/>
          </w:tcPr>
          <w:p w14:paraId="3C7EBC1E" w14:textId="77777777" w:rsidR="00F70A86" w:rsidRDefault="00340FE9" w:rsidP="00327CD6">
            <w:r>
              <w:rPr>
                <w:noProof/>
              </w:rPr>
              <w:drawing>
                <wp:inline distT="0" distB="0" distL="0" distR="0" wp14:anchorId="2EDC08C6" wp14:editId="4A496C92">
                  <wp:extent cx="414000" cy="414000"/>
                  <wp:effectExtent l="0" t="0" r="5715"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89372" name=""/>
                          <pic:cNvPicPr>
                            <a:picLocks noChangeAspect="1"/>
                          </pic:cNvPicPr>
                        </pic:nvPicPr>
                        <pic:blipFill>
                          <a:blip r:embed="rId25" cstate="print">
                            <a:extLst>
                              <a:ext uri="{28A0092B-C50C-407E-A947-70E740481C1C}">
                                <a14:useLocalDpi xmlns:a14="http://schemas.microsoft.com/office/drawing/2010/main" val="0"/>
                              </a:ext>
                            </a:extLst>
                          </a:blip>
                          <a:stretch/>
                        </pic:blipFill>
                        <pic:spPr bwMode="auto">
                          <a:xfrm>
                            <a:off x="0" y="0"/>
                            <a:ext cx="414000" cy="414000"/>
                          </a:xfrm>
                          <a:prstGeom prst="rect">
                            <a:avLst/>
                          </a:prstGeom>
                        </pic:spPr>
                      </pic:pic>
                    </a:graphicData>
                  </a:graphic>
                </wp:inline>
              </w:drawing>
            </w:r>
          </w:p>
        </w:tc>
      </w:tr>
    </w:tbl>
    <w:p w14:paraId="550AD867" w14:textId="77777777" w:rsidR="00864E63" w:rsidRDefault="00D1384B" w:rsidP="00F70A86">
      <w:pPr>
        <w:rPr>
          <w:i/>
        </w:rPr>
      </w:pPr>
      <w:r>
        <w:rPr>
          <w:i/>
        </w:rPr>
        <w:t xml:space="preserve"> </w:t>
      </w:r>
    </w:p>
    <w:p w14:paraId="1C1CD963" w14:textId="77777777" w:rsidR="00340FE9" w:rsidRDefault="00340FE9">
      <w:pPr>
        <w:spacing w:after="200" w:line="276" w:lineRule="auto"/>
        <w:rPr>
          <w:rFonts w:eastAsia="Arial" w:cs="Arial"/>
          <w:b/>
          <w:sz w:val="28"/>
        </w:rPr>
      </w:pPr>
      <w:r>
        <w:br w:type="page"/>
      </w:r>
    </w:p>
    <w:p w14:paraId="19CC6902" w14:textId="77777777" w:rsidR="00F70A86" w:rsidRDefault="00D1384B" w:rsidP="00340FE9">
      <w:pPr>
        <w:pStyle w:val="berschrift2"/>
      </w:pPr>
      <w:r>
        <w:lastRenderedPageBreak/>
        <w:t>Was ist Extremismus?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1"/>
        <w:gridCol w:w="973"/>
      </w:tblGrid>
      <w:tr w:rsidR="00F70A86" w14:paraId="611B732E" w14:textId="77777777" w:rsidTr="00327CD6">
        <w:trPr>
          <w:trHeight w:val="851"/>
        </w:trPr>
        <w:tc>
          <w:tcPr>
            <w:tcW w:w="9354" w:type="dxa"/>
            <w:gridSpan w:val="2"/>
          </w:tcPr>
          <w:p w14:paraId="51E5347D" w14:textId="77777777" w:rsidR="00F70A86" w:rsidRPr="00DF0831" w:rsidRDefault="00340FE9" w:rsidP="00CA1C9F">
            <w:pPr>
              <w:jc w:val="both"/>
              <w:rPr>
                <w:rFonts w:asciiTheme="minorHAnsi" w:hAnsiTheme="minorHAnsi"/>
                <w:b/>
                <w:sz w:val="36"/>
              </w:rPr>
            </w:pPr>
            <w:r>
              <w:t>Extremismus ist ein verwaltungstechnischer Begriff, der sich auf politische Bestrebungen bezieht, die die Grundprinzipien des demokratischen Verfassungsstaats aktiv-kämpferisch beseitigen wollen. Diese Prinzipien werden mit dem Begriff freiheitliche demokratische Grundordnung (FDGO) beschrieben. Extremistische Gruppierungen wollen diese Grundprinzipien beseitigen und durch ein antidemokratisches politisches System ersetzen. Extremismus und extremistische Einstellungen sind demnach stets verfassungsfeindlich.</w:t>
            </w:r>
          </w:p>
        </w:tc>
      </w:tr>
      <w:tr w:rsidR="00F70A86" w14:paraId="170B396E" w14:textId="77777777" w:rsidTr="00340FE9">
        <w:trPr>
          <w:trHeight w:val="854"/>
        </w:trPr>
        <w:tc>
          <w:tcPr>
            <w:tcW w:w="8381" w:type="dxa"/>
            <w:vAlign w:val="center"/>
          </w:tcPr>
          <w:p w14:paraId="751E8865" w14:textId="77777777" w:rsidR="00F70A86" w:rsidRPr="00340FE9" w:rsidRDefault="00340FE9" w:rsidP="00340FE9">
            <w:pPr>
              <w:rPr>
                <w:i/>
                <w:iCs/>
              </w:rPr>
            </w:pPr>
            <w:r>
              <w:rPr>
                <w:i/>
                <w:iCs/>
              </w:rPr>
              <w:t xml:space="preserve">Quelle und weitere Informationen: </w:t>
            </w:r>
            <w:hyperlink r:id="rId26" w:tooltip="https://www.bag-relex.de/wissen/extremismus" w:history="1">
              <w:r>
                <w:rPr>
                  <w:rStyle w:val="Hyperlink"/>
                  <w:i/>
                  <w:iCs/>
                </w:rPr>
                <w:t>https://www.bag-relex.de/wissen/extremismus</w:t>
              </w:r>
            </w:hyperlink>
          </w:p>
        </w:tc>
        <w:tc>
          <w:tcPr>
            <w:tcW w:w="973" w:type="dxa"/>
            <w:vAlign w:val="center"/>
          </w:tcPr>
          <w:p w14:paraId="2F637EFB" w14:textId="77777777" w:rsidR="00F70A86" w:rsidRDefault="00340FE9" w:rsidP="00327CD6">
            <w:r>
              <w:rPr>
                <w:noProof/>
              </w:rPr>
              <w:drawing>
                <wp:inline distT="0" distB="0" distL="0" distR="0" wp14:anchorId="7DD6F24E" wp14:editId="3A1A8F4D">
                  <wp:extent cx="414000" cy="414000"/>
                  <wp:effectExtent l="0" t="0" r="5715"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00676" name=""/>
                          <pic:cNvPicPr>
                            <a:picLocks noChangeAspect="1"/>
                          </pic:cNvPicPr>
                        </pic:nvPicPr>
                        <pic:blipFill>
                          <a:blip r:embed="rId27" cstate="print">
                            <a:extLst>
                              <a:ext uri="{28A0092B-C50C-407E-A947-70E740481C1C}">
                                <a14:useLocalDpi xmlns:a14="http://schemas.microsoft.com/office/drawing/2010/main" val="0"/>
                              </a:ext>
                            </a:extLst>
                          </a:blip>
                          <a:stretch/>
                        </pic:blipFill>
                        <pic:spPr bwMode="auto">
                          <a:xfrm>
                            <a:off x="0" y="0"/>
                            <a:ext cx="414000" cy="414000"/>
                          </a:xfrm>
                          <a:prstGeom prst="rect">
                            <a:avLst/>
                          </a:prstGeom>
                        </pic:spPr>
                      </pic:pic>
                    </a:graphicData>
                  </a:graphic>
                </wp:inline>
              </w:drawing>
            </w:r>
          </w:p>
        </w:tc>
      </w:tr>
    </w:tbl>
    <w:p w14:paraId="24A6E710" w14:textId="77777777" w:rsidR="00340FE9" w:rsidRDefault="00340FE9" w:rsidP="00340FE9">
      <w:pPr>
        <w:pStyle w:val="berschrift2"/>
        <w:rPr>
          <w:rStyle w:val="berschrift4Zchn"/>
          <w:rFonts w:ascii="Source Sans 3" w:hAnsi="Source Sans 3"/>
          <w:b/>
          <w:bCs w:val="0"/>
          <w:sz w:val="28"/>
          <w:szCs w:val="22"/>
        </w:rPr>
      </w:pPr>
    </w:p>
    <w:p w14:paraId="31FB09D6" w14:textId="77777777" w:rsidR="00F70A86" w:rsidRDefault="00D1384B" w:rsidP="00340FE9">
      <w:pPr>
        <w:pStyle w:val="berschrift2"/>
        <w:rPr>
          <w:rStyle w:val="berschrift4Zchn"/>
          <w:rFonts w:asciiTheme="minorHAnsi" w:hAnsiTheme="minorHAnsi" w:cstheme="minorHAnsi"/>
          <w:sz w:val="36"/>
          <w:szCs w:val="36"/>
        </w:rPr>
      </w:pPr>
      <w:r w:rsidRPr="00340FE9">
        <w:rPr>
          <w:rStyle w:val="berschrift4Zchn"/>
          <w:rFonts w:ascii="Source Sans 3" w:hAnsi="Source Sans 3"/>
          <w:b/>
          <w:bCs w:val="0"/>
          <w:sz w:val="28"/>
          <w:szCs w:val="22"/>
        </w:rPr>
        <w:t>Antisemitismus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gridCol w:w="976"/>
      </w:tblGrid>
      <w:tr w:rsidR="00F70A86" w14:paraId="607B500C" w14:textId="77777777" w:rsidTr="00327CD6">
        <w:trPr>
          <w:trHeight w:val="2408"/>
        </w:trPr>
        <w:tc>
          <w:tcPr>
            <w:tcW w:w="9627" w:type="dxa"/>
            <w:gridSpan w:val="2"/>
          </w:tcPr>
          <w:p w14:paraId="06B512FD" w14:textId="1E45AF59" w:rsidR="00F70A86" w:rsidRDefault="00F70A86" w:rsidP="00CA1C9F">
            <w:pPr>
              <w:jc w:val="both"/>
            </w:pPr>
            <w:r w:rsidRPr="002A7BE1">
              <w:t>Antisemitismus hat eine lange Geschichte und gehört bis heute zu den größten Herausforderungen unserer Gesellschaft. Der Hass auf Jüdinnen*Juden, die Ablehnung des Jüdischen, wo immer es auftaucht, ist weit verbreitet. Antisemitismus drückt sich in Form von Schändungen von jüdischen Friedhöfen, judenfeindlichen Schmierereien, der Leugnung des Holocausts, (Brand-)</w:t>
            </w:r>
            <w:proofErr w:type="spellStart"/>
            <w:r w:rsidRPr="002A7BE1">
              <w:t>anschlägen</w:t>
            </w:r>
            <w:proofErr w:type="spellEnd"/>
            <w:r w:rsidRPr="002A7BE1">
              <w:t xml:space="preserve"> auf Synagogen sowie Beleidigungen und körperliche Gewalt gegenüber Jüdinnen*Juden aus. Während unmittelbar und direkt ausgesprochener Hass auf jüdische Personen noch vielfach zu Entsetzen und Widerspruch führt, provoziert die indirekte, über Umwege geleitete Form der Ablehnung – </w:t>
            </w:r>
            <w:r w:rsidR="006C748E">
              <w:t>s</w:t>
            </w:r>
            <w:r w:rsidR="006C748E" w:rsidRPr="002A7BE1">
              <w:t>elbst,</w:t>
            </w:r>
            <w:r w:rsidRPr="002A7BE1">
              <w:t xml:space="preserve"> wenn sie ebenso hasserfüllt ist – meist keine Reaktionen.</w:t>
            </w:r>
          </w:p>
          <w:p w14:paraId="6BA628E2" w14:textId="7264B2AF" w:rsidR="00F70A86" w:rsidRPr="002A7BE1" w:rsidRDefault="00F70A86" w:rsidP="00CA1C9F">
            <w:pPr>
              <w:jc w:val="both"/>
            </w:pPr>
            <w:r>
              <w:t>Auch Aussagen über den Nahostkonflikt, die beanspruchen, legitime Kritik an der Politik Israels zu üben, können antisemitische Inhalte haben. Das ist beispielsweise der Fall, wenn Israel das Existenzrecht abgesprochen wird oder eine Gleichsetzung der israelischen Politik mit den Verbrechen der Nationalsozialisten sprachlich konstruiert wird, indem eine „Vernichtungspolitik“ gegenüber Palästinenser*innen vorgeworfen wird. Wird das Wort „Jude“ als Schimpfwort auf dem Schulhof oder im Fußballstadion genutzt, handelt es sich nicht um eine unpolitische Aussage, sondern um eine antisemitische Beleidigung.</w:t>
            </w:r>
          </w:p>
        </w:tc>
      </w:tr>
      <w:tr w:rsidR="00F70A86" w14:paraId="23D0F2D6" w14:textId="77777777" w:rsidTr="00FD0819">
        <w:trPr>
          <w:trHeight w:val="590"/>
        </w:trPr>
        <w:tc>
          <w:tcPr>
            <w:tcW w:w="8647" w:type="dxa"/>
            <w:vAlign w:val="bottom"/>
          </w:tcPr>
          <w:p w14:paraId="75BAD691" w14:textId="77777777" w:rsidR="00F70A86" w:rsidRPr="00FD0819" w:rsidRDefault="00F70A86" w:rsidP="00FD0819">
            <w:pPr>
              <w:pBdr>
                <w:top w:val="none" w:sz="4" w:space="0" w:color="000000"/>
                <w:left w:val="none" w:sz="4" w:space="0" w:color="000000"/>
                <w:bottom w:val="none" w:sz="4" w:space="0" w:color="000000"/>
                <w:right w:val="none" w:sz="4" w:space="0" w:color="000000"/>
              </w:pBdr>
              <w:spacing w:before="120" w:after="120"/>
              <w:rPr>
                <w:rFonts w:eastAsia="Times New Roman" w:cs="Times New Roman"/>
                <w:sz w:val="20"/>
                <w:szCs w:val="20"/>
              </w:rPr>
            </w:pPr>
            <w:r w:rsidRPr="00FD0819">
              <w:rPr>
                <w:i/>
                <w:iCs/>
                <w:sz w:val="20"/>
                <w:szCs w:val="20"/>
              </w:rPr>
              <w:t>Quelle</w:t>
            </w:r>
            <w:r w:rsidRPr="00FD0819">
              <w:rPr>
                <w:sz w:val="20"/>
                <w:szCs w:val="20"/>
              </w:rPr>
              <w:t xml:space="preserve">: </w:t>
            </w:r>
            <w:hyperlink r:id="rId28" w:tooltip="https://www.amadeu-antonio-stiftung.de/antisemitismus/was-ist-antisemitismus/" w:history="1">
              <w:r w:rsidRPr="00FD0819">
                <w:rPr>
                  <w:rStyle w:val="Hyperlink"/>
                  <w:sz w:val="20"/>
                  <w:szCs w:val="20"/>
                </w:rPr>
                <w:t>https://www.amadeu-antonio-stiftung.de/antisemitismus/was-ist-antisemitismus/</w:t>
              </w:r>
            </w:hyperlink>
            <w:r w:rsidRPr="00FD0819">
              <w:rPr>
                <w:sz w:val="20"/>
                <w:szCs w:val="20"/>
              </w:rPr>
              <w:t xml:space="preserve"> </w:t>
            </w:r>
          </w:p>
        </w:tc>
        <w:tc>
          <w:tcPr>
            <w:tcW w:w="980" w:type="dxa"/>
            <w:vAlign w:val="center"/>
          </w:tcPr>
          <w:p w14:paraId="1BC65C55" w14:textId="77777777" w:rsidR="00F70A86" w:rsidRDefault="00F70A86" w:rsidP="00327CD6">
            <w:r>
              <w:rPr>
                <w:noProof/>
              </w:rPr>
              <w:drawing>
                <wp:inline distT="0" distB="0" distL="0" distR="0" wp14:anchorId="27F84548" wp14:editId="7A86997E">
                  <wp:extent cx="413385" cy="413385"/>
                  <wp:effectExtent l="0" t="0" r="5715" b="571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61793" name=""/>
                          <pic:cNvPicPr>
                            <a:picLocks noChangeAspect="1"/>
                          </pic:cNvPicPr>
                        </pic:nvPicPr>
                        <pic:blipFill>
                          <a:blip r:embed="rId29"/>
                          <a:stretch/>
                        </pic:blipFill>
                        <pic:spPr bwMode="auto">
                          <a:xfrm>
                            <a:off x="0" y="0"/>
                            <a:ext cx="413672" cy="413672"/>
                          </a:xfrm>
                          <a:prstGeom prst="rect">
                            <a:avLst/>
                          </a:prstGeom>
                        </pic:spPr>
                      </pic:pic>
                    </a:graphicData>
                  </a:graphic>
                </wp:inline>
              </w:drawing>
            </w:r>
          </w:p>
        </w:tc>
      </w:tr>
      <w:tr w:rsidR="00F70A86" w14:paraId="75D79E34" w14:textId="77777777" w:rsidTr="00340FE9">
        <w:trPr>
          <w:trHeight w:val="762"/>
        </w:trPr>
        <w:tc>
          <w:tcPr>
            <w:tcW w:w="8647" w:type="dxa"/>
            <w:vAlign w:val="bottom"/>
          </w:tcPr>
          <w:p w14:paraId="2200B9EF" w14:textId="77777777" w:rsidR="00F70A86" w:rsidRPr="00FD0819" w:rsidRDefault="00340FE9" w:rsidP="00B55F63">
            <w:pPr>
              <w:pBdr>
                <w:top w:val="none" w:sz="4" w:space="0" w:color="000000"/>
                <w:left w:val="none" w:sz="4" w:space="0" w:color="000000"/>
                <w:bottom w:val="none" w:sz="4" w:space="0" w:color="000000"/>
                <w:right w:val="none" w:sz="4" w:space="0" w:color="000000"/>
              </w:pBdr>
              <w:spacing w:before="240" w:after="120"/>
              <w:rPr>
                <w:i/>
                <w:iCs/>
                <w:sz w:val="20"/>
                <w:szCs w:val="20"/>
              </w:rPr>
            </w:pPr>
            <w:r w:rsidRPr="00FD0819">
              <w:rPr>
                <w:rFonts w:cstheme="minorHAnsi"/>
                <w:i/>
                <w:iCs/>
                <w:sz w:val="20"/>
                <w:szCs w:val="20"/>
              </w:rPr>
              <w:t>Weitere Informationen:</w:t>
            </w:r>
            <w:r w:rsidRPr="00FD0819">
              <w:rPr>
                <w:rFonts w:cstheme="minorHAnsi"/>
                <w:sz w:val="20"/>
                <w:szCs w:val="20"/>
              </w:rPr>
              <w:t xml:space="preserve"> </w:t>
            </w:r>
            <w:hyperlink r:id="rId30" w:tooltip="https://www.bpb.de/themen/antisemitismus/dossier-antisemitismus/" w:history="1">
              <w:r w:rsidRPr="00FD0819">
                <w:rPr>
                  <w:rStyle w:val="Hyperlink"/>
                  <w:rFonts w:cstheme="minorHAnsi"/>
                  <w:sz w:val="20"/>
                  <w:szCs w:val="20"/>
                </w:rPr>
                <w:t>https://www.bpb.de/themen/antisemitismus/dossier-antisemitismus/</w:t>
              </w:r>
            </w:hyperlink>
          </w:p>
        </w:tc>
        <w:tc>
          <w:tcPr>
            <w:tcW w:w="980" w:type="dxa"/>
            <w:vAlign w:val="center"/>
          </w:tcPr>
          <w:p w14:paraId="10E9D686" w14:textId="77777777" w:rsidR="00F70A86" w:rsidRDefault="00340FE9" w:rsidP="00327CD6">
            <w:pPr>
              <w:rPr>
                <w:noProof/>
              </w:rPr>
            </w:pPr>
            <w:r>
              <w:rPr>
                <w:noProof/>
              </w:rPr>
              <w:drawing>
                <wp:inline distT="0" distB="0" distL="0" distR="0" wp14:anchorId="18BB7BC6" wp14:editId="6B881E4A">
                  <wp:extent cx="424229" cy="42422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75604" name=""/>
                          <pic:cNvPicPr>
                            <a:picLocks noChangeAspect="1"/>
                          </pic:cNvPicPr>
                        </pic:nvPicPr>
                        <pic:blipFill>
                          <a:blip r:embed="rId31" cstate="print">
                            <a:extLst>
                              <a:ext uri="{28A0092B-C50C-407E-A947-70E740481C1C}">
                                <a14:useLocalDpi xmlns:a14="http://schemas.microsoft.com/office/drawing/2010/main" val="0"/>
                              </a:ext>
                            </a:extLst>
                          </a:blip>
                          <a:stretch/>
                        </pic:blipFill>
                        <pic:spPr bwMode="auto">
                          <a:xfrm>
                            <a:off x="0" y="0"/>
                            <a:ext cx="424228" cy="424228"/>
                          </a:xfrm>
                          <a:prstGeom prst="rect">
                            <a:avLst/>
                          </a:prstGeom>
                        </pic:spPr>
                      </pic:pic>
                    </a:graphicData>
                  </a:graphic>
                </wp:inline>
              </w:drawing>
            </w:r>
          </w:p>
        </w:tc>
      </w:tr>
    </w:tbl>
    <w:p w14:paraId="66298E9B" w14:textId="256825F2" w:rsidR="00BD3EFF" w:rsidRDefault="00BD3EFF" w:rsidP="00F70A86">
      <w:pPr>
        <w:rPr>
          <w:i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69"/>
      </w:tblGrid>
      <w:tr w:rsidR="008E07A3" w14:paraId="5E69010A" w14:textId="77777777" w:rsidTr="00735680">
        <w:trPr>
          <w:trHeight w:val="406"/>
        </w:trPr>
        <w:tc>
          <w:tcPr>
            <w:tcW w:w="8075" w:type="dxa"/>
            <w:shd w:val="clear" w:color="auto" w:fill="D8DCF4"/>
          </w:tcPr>
          <w:p w14:paraId="32CC0202" w14:textId="014CDA8F" w:rsidR="008E07A3" w:rsidRDefault="00AE6E78" w:rsidP="00F70A86">
            <w:pPr>
              <w:rPr>
                <w:iCs/>
              </w:rPr>
            </w:pPr>
            <w:r>
              <w:t>Weitere Informationen zum Nahostkonflikt in der Bildungsarbeit:</w:t>
            </w:r>
          </w:p>
        </w:tc>
        <w:tc>
          <w:tcPr>
            <w:tcW w:w="1269" w:type="dxa"/>
            <w:shd w:val="clear" w:color="auto" w:fill="D8DCF4"/>
          </w:tcPr>
          <w:p w14:paraId="5775D493" w14:textId="77777777" w:rsidR="008E07A3" w:rsidRDefault="008E07A3" w:rsidP="00F70A86">
            <w:pPr>
              <w:rPr>
                <w:iCs/>
              </w:rPr>
            </w:pPr>
          </w:p>
        </w:tc>
      </w:tr>
      <w:tr w:rsidR="008E07A3" w14:paraId="4304610A" w14:textId="77777777" w:rsidTr="00735680">
        <w:trPr>
          <w:trHeight w:val="780"/>
        </w:trPr>
        <w:tc>
          <w:tcPr>
            <w:tcW w:w="8075" w:type="dxa"/>
            <w:shd w:val="clear" w:color="auto" w:fill="D8DCF4"/>
          </w:tcPr>
          <w:p w14:paraId="7D59BD36" w14:textId="3251A091" w:rsidR="008E07A3" w:rsidRPr="00AE6E78" w:rsidRDefault="002B7C74" w:rsidP="00F70A86">
            <w:pPr>
              <w:rPr>
                <w:iCs/>
              </w:rPr>
            </w:pPr>
            <w:hyperlink r:id="rId32" w:tooltip="https://www.ufuq.de/publikation/nahostkonflikt-schule/" w:history="1">
              <w:r w:rsidR="008E07A3" w:rsidRPr="00AE6E78">
                <w:rPr>
                  <w:rStyle w:val="Heading1Char"/>
                  <w:rFonts w:ascii="Source Sans 3" w:hAnsi="Source Sans 3"/>
                  <w:b/>
                  <w:bCs/>
                  <w:sz w:val="22"/>
                  <w:szCs w:val="22"/>
                </w:rPr>
                <w:t>https://www.ufuq.de/publikation/nahostkonflikt-schule/</w:t>
              </w:r>
            </w:hyperlink>
          </w:p>
        </w:tc>
        <w:tc>
          <w:tcPr>
            <w:tcW w:w="1269" w:type="dxa"/>
            <w:shd w:val="clear" w:color="auto" w:fill="D8DCF4"/>
          </w:tcPr>
          <w:p w14:paraId="76BCC5FD" w14:textId="09FE938C" w:rsidR="008E07A3" w:rsidRDefault="008E07A3" w:rsidP="00F70A86">
            <w:pPr>
              <w:rPr>
                <w:iCs/>
              </w:rPr>
            </w:pPr>
            <w:r w:rsidRPr="00BD3EFF">
              <w:rPr>
                <w:iCs/>
                <w:noProof/>
              </w:rPr>
              <w:drawing>
                <wp:inline distT="0" distB="0" distL="0" distR="0" wp14:anchorId="066F1471" wp14:editId="1B8733C1">
                  <wp:extent cx="414000" cy="414000"/>
                  <wp:effectExtent l="0" t="0" r="5715"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30436" name=""/>
                          <pic:cNvPicPr>
                            <a:picLocks noChangeAspect="1"/>
                          </pic:cNvPicPr>
                        </pic:nvPicPr>
                        <pic:blipFill>
                          <a:blip r:embed="rId33" cstate="print">
                            <a:extLst>
                              <a:ext uri="{28A0092B-C50C-407E-A947-70E740481C1C}">
                                <a14:useLocalDpi xmlns:a14="http://schemas.microsoft.com/office/drawing/2010/main" val="0"/>
                              </a:ext>
                            </a:extLst>
                          </a:blip>
                          <a:stretch/>
                        </pic:blipFill>
                        <pic:spPr bwMode="auto">
                          <a:xfrm>
                            <a:off x="0" y="0"/>
                            <a:ext cx="414000" cy="414000"/>
                          </a:xfrm>
                          <a:prstGeom prst="rect">
                            <a:avLst/>
                          </a:prstGeom>
                        </pic:spPr>
                      </pic:pic>
                    </a:graphicData>
                  </a:graphic>
                </wp:inline>
              </w:drawing>
            </w:r>
          </w:p>
        </w:tc>
      </w:tr>
      <w:tr w:rsidR="008E07A3" w14:paraId="6CE2AE7E" w14:textId="77777777" w:rsidTr="00735680">
        <w:trPr>
          <w:trHeight w:val="774"/>
        </w:trPr>
        <w:tc>
          <w:tcPr>
            <w:tcW w:w="8075" w:type="dxa"/>
            <w:shd w:val="clear" w:color="auto" w:fill="D8DCF4"/>
          </w:tcPr>
          <w:p w14:paraId="1A0B864A" w14:textId="6FE6DF14" w:rsidR="008E07A3" w:rsidRPr="00AE6E78" w:rsidRDefault="002B7C74" w:rsidP="00F70A86">
            <w:pPr>
              <w:rPr>
                <w:b/>
                <w:bCs/>
              </w:rPr>
            </w:pPr>
            <w:hyperlink r:id="rId34" w:tooltip="https://www.ufuq.de/aktuelles/der-nahostkonflikt-im-unterricht-50-handlungsmoeglichkeiten-fuer-lehrerinnen/" w:history="1">
              <w:r w:rsidR="00AE6E78" w:rsidRPr="00AE6E78">
                <w:rPr>
                  <w:rStyle w:val="Heading1Char"/>
                  <w:rFonts w:ascii="Source Sans 3" w:hAnsi="Source Sans 3"/>
                  <w:b/>
                  <w:bCs/>
                  <w:sz w:val="22"/>
                  <w:szCs w:val="22"/>
                </w:rPr>
                <w:t>https://www.ufuq.de/aktuelles/der-nahostkonflikt-im-unterricht-</w:t>
              </w:r>
              <w:r w:rsidR="00AE6E78" w:rsidRPr="00AE6E78">
                <w:rPr>
                  <w:rStyle w:val="Heading1Char"/>
                  <w:rFonts w:ascii="Source Sans 3" w:hAnsi="Source Sans 3"/>
                  <w:b/>
                  <w:bCs/>
                  <w:sz w:val="22"/>
                  <w:szCs w:val="22"/>
                </w:rPr>
                <w:br/>
                <w:t>50-handlungsmoeglichkeiten-fuer-lehrerinnen/</w:t>
              </w:r>
            </w:hyperlink>
            <w:r w:rsidR="00AE6E78" w:rsidRPr="00AE6E78">
              <w:rPr>
                <w:b/>
                <w:bCs/>
              </w:rPr>
              <w:t xml:space="preserve"> </w:t>
            </w:r>
          </w:p>
        </w:tc>
        <w:tc>
          <w:tcPr>
            <w:tcW w:w="1269" w:type="dxa"/>
            <w:shd w:val="clear" w:color="auto" w:fill="D8DCF4"/>
          </w:tcPr>
          <w:p w14:paraId="472B8D90" w14:textId="2BDA0444" w:rsidR="008E07A3" w:rsidRDefault="008E07A3" w:rsidP="008E07A3">
            <w:pPr>
              <w:jc w:val="both"/>
              <w:rPr>
                <w:iCs/>
              </w:rPr>
            </w:pPr>
            <w:r w:rsidRPr="00BD3EFF">
              <w:rPr>
                <w:iCs/>
                <w:noProof/>
              </w:rPr>
              <w:drawing>
                <wp:inline distT="0" distB="0" distL="0" distR="0" wp14:anchorId="65E2788C" wp14:editId="128F00C6">
                  <wp:extent cx="413385" cy="413385"/>
                  <wp:effectExtent l="0" t="0" r="5715"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87811" name=""/>
                          <pic:cNvPicPr>
                            <a:picLocks noChangeAspect="1"/>
                          </pic:cNvPicPr>
                        </pic:nvPicPr>
                        <pic:blipFill>
                          <a:blip r:embed="rId35" cstate="print">
                            <a:extLst>
                              <a:ext uri="{28A0092B-C50C-407E-A947-70E740481C1C}">
                                <a14:useLocalDpi xmlns:a14="http://schemas.microsoft.com/office/drawing/2010/main" val="0"/>
                              </a:ext>
                            </a:extLst>
                          </a:blip>
                          <a:stretch/>
                        </pic:blipFill>
                        <pic:spPr bwMode="auto">
                          <a:xfrm>
                            <a:off x="0" y="0"/>
                            <a:ext cx="413385" cy="413385"/>
                          </a:xfrm>
                          <a:prstGeom prst="rect">
                            <a:avLst/>
                          </a:prstGeom>
                        </pic:spPr>
                      </pic:pic>
                    </a:graphicData>
                  </a:graphic>
                </wp:inline>
              </w:drawing>
            </w:r>
          </w:p>
        </w:tc>
      </w:tr>
      <w:tr w:rsidR="008E07A3" w14:paraId="658CAB3B" w14:textId="77777777" w:rsidTr="00735680">
        <w:trPr>
          <w:trHeight w:val="714"/>
        </w:trPr>
        <w:tc>
          <w:tcPr>
            <w:tcW w:w="8075" w:type="dxa"/>
            <w:shd w:val="clear" w:color="auto" w:fill="D8DCF4"/>
          </w:tcPr>
          <w:p w14:paraId="4F4D082A" w14:textId="4D6A91C5" w:rsidR="008E07A3" w:rsidRPr="00AE6E78" w:rsidRDefault="008E07A3" w:rsidP="00F70A86">
            <w:pPr>
              <w:rPr>
                <w:b/>
                <w:bCs/>
                <w:iCs/>
              </w:rPr>
            </w:pPr>
            <w:r w:rsidRPr="00AE6E78">
              <w:rPr>
                <w:b/>
                <w:bCs/>
                <w:iCs/>
              </w:rPr>
              <w:t>https://www.bs-anne-frank.de/mediathek/publikationen</w:t>
            </w:r>
          </w:p>
        </w:tc>
        <w:tc>
          <w:tcPr>
            <w:tcW w:w="1269" w:type="dxa"/>
            <w:shd w:val="clear" w:color="auto" w:fill="D8DCF4"/>
          </w:tcPr>
          <w:p w14:paraId="593F1EC7" w14:textId="4C15EEAD" w:rsidR="008E07A3" w:rsidRDefault="00AE6E78" w:rsidP="00F70A86">
            <w:pPr>
              <w:rPr>
                <w:iCs/>
              </w:rPr>
            </w:pPr>
            <w:r>
              <w:rPr>
                <w:iCs/>
                <w:noProof/>
              </w:rPr>
              <w:drawing>
                <wp:inline distT="0" distB="0" distL="0" distR="0" wp14:anchorId="0CCE05FC" wp14:editId="456F4FD6">
                  <wp:extent cx="413385" cy="417250"/>
                  <wp:effectExtent l="0" t="0" r="5715"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7258" t="5646" r="6452" b="7259"/>
                          <a:stretch/>
                        </pic:blipFill>
                        <pic:spPr bwMode="auto">
                          <a:xfrm>
                            <a:off x="0" y="0"/>
                            <a:ext cx="429232" cy="4332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DD34B0" w14:textId="15FA1EEC" w:rsidR="00864E63" w:rsidRDefault="00735680" w:rsidP="002F59E4">
      <w:pPr>
        <w:pStyle w:val="berschrift1"/>
      </w:pPr>
      <w:r>
        <w:rPr>
          <w:noProof/>
        </w:rPr>
        <w:lastRenderedPageBreak/>
        <w:drawing>
          <wp:anchor distT="0" distB="0" distL="114300" distR="114300" simplePos="0" relativeHeight="251671552" behindDoc="0" locked="0" layoutInCell="1" allowOverlap="1" wp14:anchorId="723537DD" wp14:editId="689BAFAB">
            <wp:simplePos x="0" y="0"/>
            <wp:positionH relativeFrom="column">
              <wp:posOffset>5189220</wp:posOffset>
            </wp:positionH>
            <wp:positionV relativeFrom="paragraph">
              <wp:posOffset>4445</wp:posOffset>
            </wp:positionV>
            <wp:extent cx="876300" cy="876300"/>
            <wp:effectExtent l="0" t="0" r="0" b="0"/>
            <wp:wrapSquare wrapText="bothSides"/>
            <wp:docPr id="367" name="Grafik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Grafik 36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2F59E4" w:rsidRPr="002F59E4">
        <w:t xml:space="preserve">5 Tipps für </w:t>
      </w:r>
      <w:r w:rsidR="002F59E4">
        <w:t>die</w:t>
      </w:r>
      <w:r w:rsidR="002F59E4" w:rsidRPr="002F59E4">
        <w:t xml:space="preserve"> Gespräch</w:t>
      </w:r>
      <w:r w:rsidR="002F59E4">
        <w:t>sführung</w:t>
      </w:r>
      <w:r w:rsidR="00AE6E78">
        <w:t xml:space="preserve"> in pädagogischen Situationen</w:t>
      </w:r>
    </w:p>
    <w:p w14:paraId="33452940" w14:textId="318CA2AC" w:rsidR="002F59E4" w:rsidRPr="002F59E4" w:rsidRDefault="002F59E4" w:rsidP="002F59E4">
      <w:pPr>
        <w:pStyle w:val="Untertitel"/>
        <w:rPr>
          <w:sz w:val="20"/>
          <w:szCs w:val="20"/>
        </w:rPr>
      </w:pPr>
      <w:r w:rsidRPr="002F59E4">
        <w:rPr>
          <w:sz w:val="20"/>
          <w:szCs w:val="20"/>
        </w:rPr>
        <w:t xml:space="preserve">nach: </w:t>
      </w:r>
      <w:hyperlink r:id="rId38" w:history="1">
        <w:r w:rsidRPr="002F59E4">
          <w:rPr>
            <w:rStyle w:val="Hyperlink"/>
            <w:iCs/>
            <w:sz w:val="20"/>
            <w:szCs w:val="20"/>
          </w:rPr>
          <w:t>5 Tipps für radikal höfliche Gespräche</w:t>
        </w:r>
      </w:hyperlink>
      <w:r w:rsidRPr="002F59E4">
        <w:rPr>
          <w:sz w:val="20"/>
          <w:szCs w:val="20"/>
        </w:rPr>
        <w:t xml:space="preserve"> von „Kleiner Fünf“</w:t>
      </w:r>
    </w:p>
    <w:p w14:paraId="5320E8A7" w14:textId="77777777" w:rsidR="00AE6E78" w:rsidRDefault="00AE6E78" w:rsidP="00F70A86"/>
    <w:p w14:paraId="5C2C65A2" w14:textId="16ABAD38" w:rsidR="002F59E4" w:rsidRDefault="002F59E4" w:rsidP="00CA1C9F">
      <w:pPr>
        <w:jc w:val="both"/>
      </w:pPr>
      <w:r>
        <w:t>Rechtspopulistische Aussagen, Vorurteile oder polarisierende Ansichten können auch im pädagogischen Alltag auftreten – sei es in Workshops, im Unterricht oder in anderen Gruppensituationen. Hier sind fünf praktische Tipps, wie Sie als Fachkraft in solchen Situationen handeln können:</w:t>
      </w:r>
    </w:p>
    <w:p w14:paraId="7ABDDB47" w14:textId="77777777" w:rsidR="006C748E" w:rsidRPr="006C748E" w:rsidRDefault="006C748E" w:rsidP="00CA1C9F">
      <w:pPr>
        <w:jc w:val="both"/>
        <w:rPr>
          <w:iCs/>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F59E4" w14:paraId="43772B75" w14:textId="77777777" w:rsidTr="00AE6E78">
        <w:tc>
          <w:tcPr>
            <w:tcW w:w="9344" w:type="dxa"/>
          </w:tcPr>
          <w:p w14:paraId="3A8961BC" w14:textId="0832FEEE" w:rsidR="002F59E4" w:rsidRPr="006C748E" w:rsidRDefault="002F59E4" w:rsidP="00CA1C9F">
            <w:pPr>
              <w:jc w:val="both"/>
              <w:rPr>
                <w:b/>
                <w:bCs/>
                <w:iCs/>
              </w:rPr>
            </w:pPr>
            <w:r w:rsidRPr="006C748E">
              <w:rPr>
                <w:b/>
                <w:bCs/>
                <w:iCs/>
              </w:rPr>
              <w:t xml:space="preserve">Tipp 1: </w:t>
            </w:r>
            <w:r w:rsidR="006C748E" w:rsidRPr="006C748E">
              <w:rPr>
                <w:b/>
                <w:bCs/>
                <w:iCs/>
              </w:rPr>
              <w:t>Ruhe bewahren</w:t>
            </w:r>
          </w:p>
        </w:tc>
      </w:tr>
      <w:tr w:rsidR="002F59E4" w14:paraId="023B64E9" w14:textId="77777777" w:rsidTr="00AE6E78">
        <w:tc>
          <w:tcPr>
            <w:tcW w:w="9344" w:type="dxa"/>
          </w:tcPr>
          <w:p w14:paraId="4DCB1041" w14:textId="4923F3DD" w:rsidR="002F59E4" w:rsidRDefault="006C748E" w:rsidP="00CA1C9F">
            <w:pPr>
              <w:jc w:val="both"/>
              <w:rPr>
                <w:iCs/>
              </w:rPr>
            </w:pPr>
            <w:r>
              <w:t>Bleiben Sie ruhig, auch wenn provokante Aussagen emotional herausfordernd sind. Eine gelassene Haltung hilft Ihnen, klare Ziele zu formulieren: Was möchte ich vermitteln? Was kann ich erreichen? Ihre Emotionen – sei es Ärger oder Betroffenheit – dürfen sichtbar sein, sollten jedoch kontrolliert und konstruktiv genutzt werden, um Ihrer Position Nachdruck zu verleihen.</w:t>
            </w:r>
          </w:p>
        </w:tc>
      </w:tr>
    </w:tbl>
    <w:p w14:paraId="467671FC" w14:textId="44B819A7" w:rsidR="002F59E4" w:rsidRPr="00AE6E78" w:rsidRDefault="002F59E4" w:rsidP="00CA1C9F">
      <w:pPr>
        <w:jc w:val="both"/>
        <w:rPr>
          <w:iCs/>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F59E4" w14:paraId="65B8A4EF" w14:textId="77777777" w:rsidTr="00AE6E78">
        <w:tc>
          <w:tcPr>
            <w:tcW w:w="9344" w:type="dxa"/>
          </w:tcPr>
          <w:p w14:paraId="50158C6A" w14:textId="0421B121" w:rsidR="002F59E4" w:rsidRPr="006C748E" w:rsidRDefault="002F59E4" w:rsidP="00CA1C9F">
            <w:pPr>
              <w:jc w:val="both"/>
              <w:rPr>
                <w:b/>
                <w:bCs/>
                <w:iCs/>
              </w:rPr>
            </w:pPr>
            <w:r w:rsidRPr="006C748E">
              <w:rPr>
                <w:b/>
                <w:bCs/>
                <w:iCs/>
              </w:rPr>
              <w:t xml:space="preserve">Tipp 2: </w:t>
            </w:r>
            <w:r w:rsidR="006C748E" w:rsidRPr="006C748E">
              <w:rPr>
                <w:b/>
                <w:bCs/>
              </w:rPr>
              <w:t>Offene Fragen stellen</w:t>
            </w:r>
          </w:p>
        </w:tc>
      </w:tr>
      <w:tr w:rsidR="002F59E4" w14:paraId="41DA5D62" w14:textId="77777777" w:rsidTr="00AE6E78">
        <w:tc>
          <w:tcPr>
            <w:tcW w:w="9344" w:type="dxa"/>
          </w:tcPr>
          <w:p w14:paraId="779C4A46" w14:textId="6C0C8966" w:rsidR="002F59E4" w:rsidRDefault="006C748E" w:rsidP="00CA1C9F">
            <w:pPr>
              <w:jc w:val="both"/>
              <w:rPr>
                <w:iCs/>
              </w:rPr>
            </w:pPr>
            <w:r>
              <w:t>Anstatt sofort zu widersprechen, können offene Fragen dazu beitragen, die Perspektive der Kinder oder Jugendlichen zu verstehen. Zum Beispiel: „Was meinst du damit genau?“ oder „Warum siehst du das so?“. Dies regt zum Nachdenken an und gibt Ihnen die Möglichkeit, Klarheit zu gewinnen. Achten Sie darauf, rassistischen oder diskriminierenden Aussagen keinen zusätzlichen Raum zu geben.</w:t>
            </w:r>
          </w:p>
        </w:tc>
      </w:tr>
    </w:tbl>
    <w:p w14:paraId="33EB7C68" w14:textId="290675C3" w:rsidR="002F59E4" w:rsidRPr="00AE6E78" w:rsidRDefault="002F59E4" w:rsidP="00CA1C9F">
      <w:pPr>
        <w:jc w:val="both"/>
        <w:rPr>
          <w:iCs/>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F59E4" w14:paraId="0CE9678A" w14:textId="77777777" w:rsidTr="00AE6E78">
        <w:tc>
          <w:tcPr>
            <w:tcW w:w="9344" w:type="dxa"/>
          </w:tcPr>
          <w:p w14:paraId="79249EB4" w14:textId="39B902BA" w:rsidR="002F59E4" w:rsidRPr="006C748E" w:rsidRDefault="002F59E4" w:rsidP="00CA1C9F">
            <w:pPr>
              <w:jc w:val="both"/>
              <w:rPr>
                <w:b/>
                <w:iCs/>
              </w:rPr>
            </w:pPr>
            <w:r w:rsidRPr="006C748E">
              <w:rPr>
                <w:b/>
                <w:iCs/>
              </w:rPr>
              <w:t xml:space="preserve">Tipp 3: </w:t>
            </w:r>
            <w:r w:rsidR="006C748E" w:rsidRPr="006C748E">
              <w:rPr>
                <w:b/>
              </w:rPr>
              <w:t>Zuhören</w:t>
            </w:r>
          </w:p>
        </w:tc>
      </w:tr>
      <w:tr w:rsidR="002F59E4" w14:paraId="38368B80" w14:textId="77777777" w:rsidTr="00AE6E78">
        <w:tc>
          <w:tcPr>
            <w:tcW w:w="9344" w:type="dxa"/>
          </w:tcPr>
          <w:p w14:paraId="7135CE41" w14:textId="7915DD9F" w:rsidR="002F59E4" w:rsidRDefault="006C748E" w:rsidP="00CA1C9F">
            <w:pPr>
              <w:jc w:val="both"/>
              <w:rPr>
                <w:iCs/>
              </w:rPr>
            </w:pPr>
            <w:r>
              <w:t>Hören Sie aktiv zu und achten Sie auf Zwischentöne oder Widersprüche. Signalisiert das Gegenüber Interesse an einem echten Austausch, können Sie gezielt ansetzen. Zeigen Sie, dass Sie bereit sind, ein konstruktives Gespräch zu führen. Wenn grundlegende Regeln der Kommunikation verletzt werden, können Sie das Gespräch höflich, aber bestimmt beenden.</w:t>
            </w:r>
          </w:p>
        </w:tc>
      </w:tr>
    </w:tbl>
    <w:p w14:paraId="77E0763B" w14:textId="586EC575" w:rsidR="002F59E4" w:rsidRPr="00AE6E78" w:rsidRDefault="002F59E4" w:rsidP="00CA1C9F">
      <w:pPr>
        <w:jc w:val="both"/>
        <w:rPr>
          <w:iCs/>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F59E4" w14:paraId="683615BD" w14:textId="77777777" w:rsidTr="00AE6E78">
        <w:tc>
          <w:tcPr>
            <w:tcW w:w="9344" w:type="dxa"/>
          </w:tcPr>
          <w:p w14:paraId="65E047F9" w14:textId="458387CA" w:rsidR="002F59E4" w:rsidRPr="006C748E" w:rsidRDefault="002F59E4" w:rsidP="00CA1C9F">
            <w:pPr>
              <w:jc w:val="both"/>
              <w:rPr>
                <w:b/>
                <w:iCs/>
              </w:rPr>
            </w:pPr>
            <w:r w:rsidRPr="006C748E">
              <w:rPr>
                <w:b/>
                <w:iCs/>
              </w:rPr>
              <w:t xml:space="preserve">Tipp 4: </w:t>
            </w:r>
            <w:r w:rsidR="006C748E" w:rsidRPr="006C748E">
              <w:rPr>
                <w:b/>
              </w:rPr>
              <w:t>Kritik höflich formulieren</w:t>
            </w:r>
          </w:p>
        </w:tc>
      </w:tr>
      <w:tr w:rsidR="002F59E4" w14:paraId="03185C35" w14:textId="77777777" w:rsidTr="00AE6E78">
        <w:tc>
          <w:tcPr>
            <w:tcW w:w="9344" w:type="dxa"/>
          </w:tcPr>
          <w:p w14:paraId="7DECDE48" w14:textId="61F4E4AA" w:rsidR="002F59E4" w:rsidRDefault="006C748E" w:rsidP="00CA1C9F">
            <w:pPr>
              <w:jc w:val="both"/>
              <w:rPr>
                <w:iCs/>
              </w:rPr>
            </w:pPr>
            <w:r>
              <w:t>Sprechen Sie Kritik klar, aber respektvoll aus. Zeigen Sie Verständnis für gemeinsame Anliegen und wiederholen Sie Aussagen in eigenen Worten: „Ich verstehe, dass das Thema wichtig ist, aber ich sehe das anders.“ Grenzen Sie sich von Aussagen oder Schlussfolgerungen ab, die diskriminierend oder extrem sind, ohne das Gegenüber persönlich abzuwerten.</w:t>
            </w:r>
          </w:p>
        </w:tc>
      </w:tr>
    </w:tbl>
    <w:p w14:paraId="6719DA80" w14:textId="5ABF0BE2" w:rsidR="002F59E4" w:rsidRPr="00AE6E78" w:rsidRDefault="002F59E4" w:rsidP="00CA1C9F">
      <w:pPr>
        <w:jc w:val="both"/>
        <w:rPr>
          <w:iCs/>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F59E4" w14:paraId="6EF63471" w14:textId="77777777" w:rsidTr="00AE6E78">
        <w:tc>
          <w:tcPr>
            <w:tcW w:w="9344" w:type="dxa"/>
          </w:tcPr>
          <w:p w14:paraId="6DD0666C" w14:textId="25B201B9" w:rsidR="002F59E4" w:rsidRPr="006C748E" w:rsidRDefault="002F59E4" w:rsidP="00CA1C9F">
            <w:pPr>
              <w:jc w:val="both"/>
              <w:rPr>
                <w:b/>
                <w:iCs/>
              </w:rPr>
            </w:pPr>
            <w:r w:rsidRPr="006C748E">
              <w:rPr>
                <w:b/>
                <w:iCs/>
              </w:rPr>
              <w:t xml:space="preserve">Tipp 5: </w:t>
            </w:r>
            <w:r w:rsidR="006C748E" w:rsidRPr="006C748E">
              <w:rPr>
                <w:b/>
              </w:rPr>
              <w:t>Selbst aktiv werden</w:t>
            </w:r>
          </w:p>
        </w:tc>
      </w:tr>
      <w:tr w:rsidR="002F59E4" w14:paraId="1617B6E1" w14:textId="77777777" w:rsidTr="00AE6E78">
        <w:tc>
          <w:tcPr>
            <w:tcW w:w="9344" w:type="dxa"/>
          </w:tcPr>
          <w:p w14:paraId="7646D2F3" w14:textId="2EDBD674" w:rsidR="002F59E4" w:rsidRDefault="006C748E" w:rsidP="00CA1C9F">
            <w:pPr>
              <w:jc w:val="both"/>
              <w:rPr>
                <w:iCs/>
              </w:rPr>
            </w:pPr>
            <w:r>
              <w:t>Gestalten Sie den Dialog aktiv, sobald Sie die Perspektiven verstanden haben. Bringen Sie eigene Standpunkte ein oder lenken Sie die Diskussion auf lösungsorientierte Themen. Sollte das Gespräch destruktiv verlaufen oder Grenzen überschritten werden, ziehen Sie sich konsequent zurück oder setzen klare Regeln für den weiteren Verlauf.</w:t>
            </w:r>
          </w:p>
        </w:tc>
      </w:tr>
    </w:tbl>
    <w:p w14:paraId="1FE1B4ED" w14:textId="42BEE6E0" w:rsidR="00AE6E78" w:rsidRDefault="00735680" w:rsidP="002F59E4">
      <w:pPr>
        <w:rPr>
          <w:iCs/>
        </w:rPr>
      </w:pPr>
      <w:r>
        <w:rPr>
          <w:noProof/>
        </w:rPr>
        <w:drawing>
          <wp:anchor distT="0" distB="0" distL="114300" distR="114300" simplePos="0" relativeHeight="251672576" behindDoc="1" locked="0" layoutInCell="1" allowOverlap="1" wp14:anchorId="185A4930" wp14:editId="103BEA09">
            <wp:simplePos x="0" y="0"/>
            <wp:positionH relativeFrom="margin">
              <wp:posOffset>-66675</wp:posOffset>
            </wp:positionH>
            <wp:positionV relativeFrom="paragraph">
              <wp:posOffset>132080</wp:posOffset>
            </wp:positionV>
            <wp:extent cx="6008370" cy="716280"/>
            <wp:effectExtent l="0" t="0" r="0" b="7620"/>
            <wp:wrapNone/>
            <wp:docPr id="369" name="Grafik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Grafik 369"/>
                    <pic:cNvPicPr/>
                  </pic:nvPicPr>
                  <pic:blipFill rotWithShape="1">
                    <a:blip r:embed="rId39">
                      <a:extLst>
                        <a:ext uri="{28A0092B-C50C-407E-A947-70E740481C1C}">
                          <a14:useLocalDpi xmlns:a14="http://schemas.microsoft.com/office/drawing/2010/main" val="0"/>
                        </a:ext>
                      </a:extLst>
                    </a:blip>
                    <a:srcRect t="73192"/>
                    <a:stretch/>
                  </pic:blipFill>
                  <pic:spPr bwMode="auto">
                    <a:xfrm>
                      <a:off x="0" y="0"/>
                      <a:ext cx="6008370" cy="71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7CD6B" w14:textId="039A8CFB" w:rsidR="002F59E4" w:rsidRPr="002F59E4" w:rsidRDefault="00A9198A" w:rsidP="002F59E4">
      <w:pPr>
        <w:rPr>
          <w:iCs/>
        </w:rPr>
      </w:pPr>
      <w:r>
        <w:rPr>
          <w:iCs/>
        </w:rPr>
        <w:t xml:space="preserve">Ergänzende Hinweise zur </w:t>
      </w:r>
      <w:hyperlink r:id="rId40" w:history="1">
        <w:r w:rsidRPr="00A9198A">
          <w:rPr>
            <w:rStyle w:val="Hyperlink"/>
            <w:iCs/>
          </w:rPr>
          <w:t>Haltung zu Demokratie und Vielfalt</w:t>
        </w:r>
      </w:hyperlink>
      <w:r>
        <w:rPr>
          <w:iCs/>
        </w:rPr>
        <w:t xml:space="preserve"> von Fachkräften bietet auch der </w:t>
      </w:r>
      <w:r w:rsidRPr="00AE6E78">
        <w:rPr>
          <w:b/>
          <w:bCs/>
          <w:iCs/>
        </w:rPr>
        <w:t>Kompass für gelingende politische Medienbildung</w:t>
      </w:r>
      <w:r>
        <w:rPr>
          <w:iCs/>
        </w:rPr>
        <w:t xml:space="preserve"> (</w:t>
      </w:r>
      <w:hyperlink r:id="rId41" w:history="1">
        <w:r w:rsidRPr="00BF1535">
          <w:rPr>
            <w:rStyle w:val="Hyperlink"/>
            <w:iCs/>
          </w:rPr>
          <w:t>https://hass-im-netz.gmk-net.de/kompass/</w:t>
        </w:r>
      </w:hyperlink>
      <w:r>
        <w:rPr>
          <w:iCs/>
        </w:rPr>
        <w:t>), der von mediale pfade und der GMK entwickelt wurde.</w:t>
      </w:r>
    </w:p>
    <w:sectPr w:rsidR="002F59E4" w:rsidRPr="002F59E4" w:rsidSect="00A204AF">
      <w:headerReference w:type="default" r:id="rId42"/>
      <w:footerReference w:type="default" r:id="rId43"/>
      <w:pgSz w:w="11906" w:h="16838"/>
      <w:pgMar w:top="993" w:right="851" w:bottom="1134" w:left="1701" w:header="709"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8073" w14:textId="77777777" w:rsidR="002B7C74" w:rsidRDefault="002B7C74" w:rsidP="00F70A86">
      <w:r>
        <w:separator/>
      </w:r>
    </w:p>
  </w:endnote>
  <w:endnote w:type="continuationSeparator" w:id="0">
    <w:p w14:paraId="22D1AE8F" w14:textId="77777777" w:rsidR="002B7C74" w:rsidRDefault="002B7C74" w:rsidP="00F7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3126" w14:textId="36C9FE59" w:rsidR="00FD0819" w:rsidRDefault="00FD0819" w:rsidP="00FD0819">
    <w:pPr>
      <w:tabs>
        <w:tab w:val="left" w:pos="9213"/>
      </w:tabs>
      <w:spacing w:after="240"/>
    </w:pPr>
    <w:r w:rsidRPr="00737E6C">
      <w:rPr>
        <w:iCs/>
      </w:rPr>
      <w:t>Hintergrundinformationen für Fachkräfte</w:t>
    </w:r>
    <w:r w:rsidR="002B2797" w:rsidRPr="00737E6C">
      <w:rPr>
        <w:iCs/>
      </w:rPr>
      <w:t>:</w:t>
    </w:r>
    <w:r w:rsidR="002B2797">
      <w:rPr>
        <w:i/>
      </w:rPr>
      <w:t xml:space="preserve"> </w:t>
    </w:r>
    <w:r w:rsidR="002B2797" w:rsidRPr="00AC2F14">
      <w:rPr>
        <w:i/>
      </w:rPr>
      <w:t>Fallbeispiel Nahostkonflikt</w:t>
    </w:r>
    <w:r>
      <w:tab/>
    </w:r>
    <w:r>
      <w:fldChar w:fldCharType="begin"/>
    </w:r>
    <w:r>
      <w:instrText>PAGE \* MERGEFORMAT</w:instrText>
    </w:r>
    <w:r>
      <w:fldChar w:fldCharType="separate"/>
    </w:r>
    <w:r>
      <w:t>3</w:t>
    </w:r>
    <w:r>
      <w:fldChar w:fldCharType="end"/>
    </w:r>
  </w:p>
  <w:p w14:paraId="58BB7D6F" w14:textId="3CBA21CE" w:rsidR="00864E63" w:rsidRPr="00FD0819" w:rsidRDefault="00B55F63" w:rsidP="00FD0819">
    <w:pPr>
      <w:tabs>
        <w:tab w:val="left" w:pos="9213"/>
      </w:tabs>
    </w:pPr>
    <w:r>
      <w:rPr>
        <w:noProof/>
      </w:rPr>
      <w:drawing>
        <wp:anchor distT="0" distB="0" distL="114300" distR="114300" simplePos="0" relativeHeight="251663360" behindDoc="1" locked="0" layoutInCell="1" allowOverlap="1" wp14:anchorId="2D5F30FE" wp14:editId="57881480">
          <wp:simplePos x="0" y="0"/>
          <wp:positionH relativeFrom="column">
            <wp:posOffset>2454</wp:posOffset>
          </wp:positionH>
          <wp:positionV relativeFrom="paragraph">
            <wp:posOffset>38860</wp:posOffset>
          </wp:positionV>
          <wp:extent cx="641350" cy="225988"/>
          <wp:effectExtent l="0" t="0" r="6350" b="3175"/>
          <wp:wrapTight wrapText="bothSides">
            <wp:wrapPolygon edited="0">
              <wp:start x="0" y="0"/>
              <wp:lineTo x="0" y="20079"/>
              <wp:lineTo x="21172" y="20079"/>
              <wp:lineTo x="21172" y="0"/>
              <wp:lineTo x="0" y="0"/>
            </wp:wrapPolygon>
          </wp:wrapTight>
          <wp:docPr id="377" name="Grafik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5988"/>
                  </a:xfrm>
                  <a:prstGeom prst="rect">
                    <a:avLst/>
                  </a:prstGeom>
                  <a:noFill/>
                  <a:ln>
                    <a:noFill/>
                  </a:ln>
                </pic:spPr>
              </pic:pic>
            </a:graphicData>
          </a:graphic>
        </wp:anchor>
      </w:drawing>
    </w:r>
    <w:r w:rsidR="00FD0819">
      <w:rPr>
        <w:sz w:val="16"/>
        <w:szCs w:val="16"/>
      </w:rPr>
      <w:t xml:space="preserve">Diese Praxismethode steht zur Nutzung unter </w:t>
    </w:r>
    <w:hyperlink r:id="rId2" w:tooltip="https://creativecommons.org/licenses/by-nc-sa/4.0/" w:history="1">
      <w:r w:rsidR="00FD0819">
        <w:rPr>
          <w:rStyle w:val="Hyperlink"/>
          <w:sz w:val="16"/>
          <w:szCs w:val="16"/>
        </w:rPr>
        <w:t>CC BY-SA 4.0 Bedingungen</w:t>
      </w:r>
    </w:hyperlink>
    <w:r w:rsidR="00FD0819">
      <w:rPr>
        <w:sz w:val="16"/>
        <w:szCs w:val="16"/>
      </w:rPr>
      <w:t xml:space="preserve"> (Namensnennung - Weitergabe unter gleichen Bedingungen) zur Verfügung.</w:t>
    </w:r>
    <w:r w:rsidR="00735680">
      <w:rPr>
        <w:sz w:val="16"/>
        <w:szCs w:val="16"/>
      </w:rPr>
      <w:t xml:space="preserve"> </w:t>
    </w:r>
    <w:bookmarkStart w:id="0" w:name="_Hlk184216467"/>
    <w:r w:rsidR="00735680">
      <w:rPr>
        <w:rStyle w:val="docdata"/>
        <w:color w:val="000000"/>
        <w:sz w:val="16"/>
        <w:szCs w:val="16"/>
      </w:rPr>
      <w:t>Die Namensnennung sollte erfolgen: „Praxismethode: [Titel des Dokumentes] – GMK“.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3ED3" w14:textId="77777777" w:rsidR="002B7C74" w:rsidRDefault="002B7C74" w:rsidP="00F70A86">
      <w:r>
        <w:separator/>
      </w:r>
    </w:p>
  </w:footnote>
  <w:footnote w:type="continuationSeparator" w:id="0">
    <w:p w14:paraId="45C76757" w14:textId="77777777" w:rsidR="002B7C74" w:rsidRDefault="002B7C74" w:rsidP="00F7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7BCD" w14:textId="510AB3F6" w:rsidR="008D6388" w:rsidRDefault="00735680" w:rsidP="008D6388">
    <w:pPr>
      <w:pStyle w:val="Kopfzeile"/>
      <w:jc w:val="center"/>
    </w:pPr>
    <w:r>
      <w:rPr>
        <w:noProof/>
      </w:rPr>
      <w:drawing>
        <wp:anchor distT="0" distB="0" distL="114300" distR="114300" simplePos="0" relativeHeight="251665408" behindDoc="1" locked="0" layoutInCell="1" allowOverlap="1" wp14:anchorId="22A6B30B" wp14:editId="7154EC9C">
          <wp:simplePos x="0" y="0"/>
          <wp:positionH relativeFrom="page">
            <wp:align>right</wp:align>
          </wp:positionH>
          <wp:positionV relativeFrom="paragraph">
            <wp:posOffset>-450215</wp:posOffset>
          </wp:positionV>
          <wp:extent cx="7566660" cy="899160"/>
          <wp:effectExtent l="0" t="0" r="0" b="0"/>
          <wp:wrapNone/>
          <wp:docPr id="374" name="Grafik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786" b="88785"/>
                  <a:stretch/>
                </pic:blipFill>
                <pic:spPr bwMode="auto">
                  <a:xfrm>
                    <a:off x="0" y="0"/>
                    <a:ext cx="7566660"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388">
      <w:rPr>
        <w:noProof/>
      </w:rPr>
      <w:drawing>
        <wp:anchor distT="0" distB="0" distL="115200" distR="115200" simplePos="0" relativeHeight="251661312" behindDoc="0" locked="0" layoutInCell="1" allowOverlap="1" wp14:anchorId="35DCFFDB" wp14:editId="7A5032BF">
          <wp:simplePos x="0" y="0"/>
          <wp:positionH relativeFrom="column">
            <wp:posOffset>-420588</wp:posOffset>
          </wp:positionH>
          <wp:positionV relativeFrom="paragraph">
            <wp:posOffset>-152400</wp:posOffset>
          </wp:positionV>
          <wp:extent cx="2914451" cy="469360"/>
          <wp:effectExtent l="0" t="0" r="0" b="0"/>
          <wp:wrapThrough wrapText="bothSides">
            <wp:wrapPolygon edited="1">
              <wp:start x="0" y="0"/>
              <wp:lineTo x="21600" y="0"/>
              <wp:lineTo x="21600" y="21600"/>
              <wp:lineTo x="0" y="21600"/>
            </wp:wrapPolygon>
          </wp:wrapThrough>
          <wp:docPr id="375" name="Grafik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6686" name=""/>
                  <pic:cNvPicPr>
                    <a:picLocks noChangeAspect="1"/>
                  </pic:cNvPicPr>
                </pic:nvPicPr>
                <pic:blipFill>
                  <a:blip r:embed="rId2"/>
                  <a:srcRect l="1523" t="39762" r="39879" b="27066"/>
                  <a:stretch/>
                </pic:blipFill>
                <pic:spPr bwMode="auto">
                  <a:xfrm>
                    <a:off x="0" y="0"/>
                    <a:ext cx="2914449" cy="469359"/>
                  </a:xfrm>
                  <a:prstGeom prst="rect">
                    <a:avLst/>
                  </a:prstGeom>
                </pic:spPr>
              </pic:pic>
            </a:graphicData>
          </a:graphic>
        </wp:anchor>
      </w:drawing>
    </w:r>
    <w:r w:rsidR="008D6388">
      <w:rPr>
        <w:noProof/>
      </w:rPr>
      <w:drawing>
        <wp:anchor distT="0" distB="0" distL="115200" distR="115200" simplePos="0" relativeHeight="251662336" behindDoc="0" locked="0" layoutInCell="1" allowOverlap="1" wp14:anchorId="71B7C072" wp14:editId="315EC762">
          <wp:simplePos x="0" y="0"/>
          <wp:positionH relativeFrom="column">
            <wp:posOffset>4273691</wp:posOffset>
          </wp:positionH>
          <wp:positionV relativeFrom="paragraph">
            <wp:posOffset>-159290</wp:posOffset>
          </wp:positionV>
          <wp:extent cx="1850543" cy="466725"/>
          <wp:effectExtent l="0" t="0" r="0" b="0"/>
          <wp:wrapThrough wrapText="bothSides">
            <wp:wrapPolygon edited="1">
              <wp:start x="0" y="0"/>
              <wp:lineTo x="21600" y="0"/>
              <wp:lineTo x="21600" y="21600"/>
              <wp:lineTo x="0" y="21600"/>
            </wp:wrapPolygon>
          </wp:wrapThrough>
          <wp:docPr id="376" name="Grafik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0369" name=""/>
                  <pic:cNvPicPr>
                    <a:picLocks noChangeAspect="1"/>
                  </pic:cNvPicPr>
                </pic:nvPicPr>
                <pic:blipFill>
                  <a:blip r:embed="rId2"/>
                  <a:srcRect l="59362" t="39762" r="3430" b="27251"/>
                  <a:stretch/>
                </pic:blipFill>
                <pic:spPr bwMode="auto">
                  <a:xfrm>
                    <a:off x="0" y="0"/>
                    <a:ext cx="1850541" cy="466723"/>
                  </a:xfrm>
                  <a:prstGeom prst="rect">
                    <a:avLst/>
                  </a:prstGeom>
                </pic:spPr>
              </pic:pic>
            </a:graphicData>
          </a:graphic>
        </wp:anchor>
      </w:drawing>
    </w:r>
  </w:p>
  <w:p w14:paraId="58F1231D" w14:textId="77777777" w:rsidR="008D6388" w:rsidRDefault="008D6388" w:rsidP="008D6388">
    <w:pPr>
      <w:pStyle w:val="Kopfzeile"/>
    </w:pPr>
  </w:p>
  <w:p w14:paraId="51412572" w14:textId="0C1E9349" w:rsidR="00864E63" w:rsidRDefault="00864E63" w:rsidP="00F70A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268"/>
    <w:multiLevelType w:val="hybridMultilevel"/>
    <w:tmpl w:val="1AA21490"/>
    <w:lvl w:ilvl="0" w:tplc="1C3C8C08">
      <w:start w:val="1"/>
      <w:numFmt w:val="bullet"/>
      <w:lvlText w:val=""/>
      <w:lvlJc w:val="left"/>
      <w:pPr>
        <w:ind w:left="960" w:hanging="360"/>
      </w:pPr>
      <w:rPr>
        <w:rFonts w:ascii="Symbol" w:hAnsi="Symbol" w:hint="default"/>
      </w:rPr>
    </w:lvl>
    <w:lvl w:ilvl="1" w:tplc="863627F6">
      <w:start w:val="1"/>
      <w:numFmt w:val="bullet"/>
      <w:lvlText w:val="o"/>
      <w:lvlJc w:val="left"/>
      <w:pPr>
        <w:ind w:left="1680" w:hanging="360"/>
      </w:pPr>
      <w:rPr>
        <w:rFonts w:ascii="Courier New" w:hAnsi="Courier New" w:cs="Courier New" w:hint="default"/>
      </w:rPr>
    </w:lvl>
    <w:lvl w:ilvl="2" w:tplc="4EA2EAF0">
      <w:start w:val="1"/>
      <w:numFmt w:val="bullet"/>
      <w:lvlText w:val=""/>
      <w:lvlJc w:val="left"/>
      <w:pPr>
        <w:ind w:left="2400" w:hanging="360"/>
      </w:pPr>
      <w:rPr>
        <w:rFonts w:ascii="Wingdings" w:hAnsi="Wingdings" w:hint="default"/>
      </w:rPr>
    </w:lvl>
    <w:lvl w:ilvl="3" w:tplc="A18296DE">
      <w:start w:val="1"/>
      <w:numFmt w:val="bullet"/>
      <w:lvlText w:val=""/>
      <w:lvlJc w:val="left"/>
      <w:pPr>
        <w:ind w:left="3120" w:hanging="360"/>
      </w:pPr>
      <w:rPr>
        <w:rFonts w:ascii="Symbol" w:hAnsi="Symbol" w:hint="default"/>
      </w:rPr>
    </w:lvl>
    <w:lvl w:ilvl="4" w:tplc="68BEDADC">
      <w:start w:val="1"/>
      <w:numFmt w:val="bullet"/>
      <w:lvlText w:val="o"/>
      <w:lvlJc w:val="left"/>
      <w:pPr>
        <w:ind w:left="3840" w:hanging="360"/>
      </w:pPr>
      <w:rPr>
        <w:rFonts w:ascii="Courier New" w:hAnsi="Courier New" w:cs="Courier New" w:hint="default"/>
      </w:rPr>
    </w:lvl>
    <w:lvl w:ilvl="5" w:tplc="DADE0FF4">
      <w:start w:val="1"/>
      <w:numFmt w:val="bullet"/>
      <w:lvlText w:val=""/>
      <w:lvlJc w:val="left"/>
      <w:pPr>
        <w:ind w:left="4560" w:hanging="360"/>
      </w:pPr>
      <w:rPr>
        <w:rFonts w:ascii="Wingdings" w:hAnsi="Wingdings" w:hint="default"/>
      </w:rPr>
    </w:lvl>
    <w:lvl w:ilvl="6" w:tplc="831C6104">
      <w:start w:val="1"/>
      <w:numFmt w:val="bullet"/>
      <w:lvlText w:val=""/>
      <w:lvlJc w:val="left"/>
      <w:pPr>
        <w:ind w:left="5280" w:hanging="360"/>
      </w:pPr>
      <w:rPr>
        <w:rFonts w:ascii="Symbol" w:hAnsi="Symbol" w:hint="default"/>
      </w:rPr>
    </w:lvl>
    <w:lvl w:ilvl="7" w:tplc="6054F3A4">
      <w:start w:val="1"/>
      <w:numFmt w:val="bullet"/>
      <w:lvlText w:val="o"/>
      <w:lvlJc w:val="left"/>
      <w:pPr>
        <w:ind w:left="6000" w:hanging="360"/>
      </w:pPr>
      <w:rPr>
        <w:rFonts w:ascii="Courier New" w:hAnsi="Courier New" w:cs="Courier New" w:hint="default"/>
      </w:rPr>
    </w:lvl>
    <w:lvl w:ilvl="8" w:tplc="7D688304">
      <w:start w:val="1"/>
      <w:numFmt w:val="bullet"/>
      <w:lvlText w:val=""/>
      <w:lvlJc w:val="left"/>
      <w:pPr>
        <w:ind w:left="6720" w:hanging="360"/>
      </w:pPr>
      <w:rPr>
        <w:rFonts w:ascii="Wingdings" w:hAnsi="Wingdings" w:hint="default"/>
      </w:rPr>
    </w:lvl>
  </w:abstractNum>
  <w:abstractNum w:abstractNumId="1" w15:restartNumberingAfterBreak="0">
    <w:nsid w:val="0CAE2B48"/>
    <w:multiLevelType w:val="hybridMultilevel"/>
    <w:tmpl w:val="55922178"/>
    <w:lvl w:ilvl="0" w:tplc="7214DF2C">
      <w:start w:val="1"/>
      <w:numFmt w:val="bullet"/>
      <w:lvlText w:val="·"/>
      <w:lvlJc w:val="left"/>
      <w:pPr>
        <w:ind w:left="709" w:hanging="360"/>
      </w:pPr>
      <w:rPr>
        <w:rFonts w:ascii="Symbol" w:eastAsia="Symbol" w:hAnsi="Symbol" w:cs="Symbol" w:hint="default"/>
      </w:rPr>
    </w:lvl>
    <w:lvl w:ilvl="1" w:tplc="381AC74A">
      <w:start w:val="1"/>
      <w:numFmt w:val="bullet"/>
      <w:lvlText w:val="o"/>
      <w:lvlJc w:val="left"/>
      <w:pPr>
        <w:ind w:left="1429" w:hanging="360"/>
      </w:pPr>
      <w:rPr>
        <w:rFonts w:ascii="Courier New" w:eastAsia="Courier New" w:hAnsi="Courier New" w:cs="Courier New" w:hint="default"/>
      </w:rPr>
    </w:lvl>
    <w:lvl w:ilvl="2" w:tplc="01E060D8">
      <w:start w:val="1"/>
      <w:numFmt w:val="bullet"/>
      <w:lvlText w:val="§"/>
      <w:lvlJc w:val="left"/>
      <w:pPr>
        <w:ind w:left="2149" w:hanging="360"/>
      </w:pPr>
      <w:rPr>
        <w:rFonts w:ascii="Wingdings" w:eastAsia="Wingdings" w:hAnsi="Wingdings" w:cs="Wingdings" w:hint="default"/>
      </w:rPr>
    </w:lvl>
    <w:lvl w:ilvl="3" w:tplc="D3A4BA32">
      <w:start w:val="1"/>
      <w:numFmt w:val="bullet"/>
      <w:lvlText w:val="·"/>
      <w:lvlJc w:val="left"/>
      <w:pPr>
        <w:ind w:left="2869" w:hanging="360"/>
      </w:pPr>
      <w:rPr>
        <w:rFonts w:ascii="Symbol" w:eastAsia="Symbol" w:hAnsi="Symbol" w:cs="Symbol" w:hint="default"/>
      </w:rPr>
    </w:lvl>
    <w:lvl w:ilvl="4" w:tplc="A58A2EB6">
      <w:start w:val="1"/>
      <w:numFmt w:val="bullet"/>
      <w:lvlText w:val="o"/>
      <w:lvlJc w:val="left"/>
      <w:pPr>
        <w:ind w:left="3589" w:hanging="360"/>
      </w:pPr>
      <w:rPr>
        <w:rFonts w:ascii="Courier New" w:eastAsia="Courier New" w:hAnsi="Courier New" w:cs="Courier New" w:hint="default"/>
      </w:rPr>
    </w:lvl>
    <w:lvl w:ilvl="5" w:tplc="427E4574">
      <w:start w:val="1"/>
      <w:numFmt w:val="bullet"/>
      <w:lvlText w:val="§"/>
      <w:lvlJc w:val="left"/>
      <w:pPr>
        <w:ind w:left="4309" w:hanging="360"/>
      </w:pPr>
      <w:rPr>
        <w:rFonts w:ascii="Wingdings" w:eastAsia="Wingdings" w:hAnsi="Wingdings" w:cs="Wingdings" w:hint="default"/>
      </w:rPr>
    </w:lvl>
    <w:lvl w:ilvl="6" w:tplc="FC0879AC">
      <w:start w:val="1"/>
      <w:numFmt w:val="bullet"/>
      <w:lvlText w:val="·"/>
      <w:lvlJc w:val="left"/>
      <w:pPr>
        <w:ind w:left="5029" w:hanging="360"/>
      </w:pPr>
      <w:rPr>
        <w:rFonts w:ascii="Symbol" w:eastAsia="Symbol" w:hAnsi="Symbol" w:cs="Symbol" w:hint="default"/>
      </w:rPr>
    </w:lvl>
    <w:lvl w:ilvl="7" w:tplc="352E92BE">
      <w:start w:val="1"/>
      <w:numFmt w:val="bullet"/>
      <w:lvlText w:val="o"/>
      <w:lvlJc w:val="left"/>
      <w:pPr>
        <w:ind w:left="5749" w:hanging="360"/>
      </w:pPr>
      <w:rPr>
        <w:rFonts w:ascii="Courier New" w:eastAsia="Courier New" w:hAnsi="Courier New" w:cs="Courier New" w:hint="default"/>
      </w:rPr>
    </w:lvl>
    <w:lvl w:ilvl="8" w:tplc="1E0E6E4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19545925"/>
    <w:multiLevelType w:val="hybridMultilevel"/>
    <w:tmpl w:val="3AAADEAA"/>
    <w:lvl w:ilvl="0" w:tplc="04070001">
      <w:start w:val="1"/>
      <w:numFmt w:val="bullet"/>
      <w:lvlText w:val=""/>
      <w:lvlJc w:val="left"/>
      <w:pPr>
        <w:ind w:left="960" w:hanging="360"/>
      </w:pPr>
      <w:rPr>
        <w:rFonts w:ascii="Symbol" w:hAnsi="Symbol" w:hint="default"/>
      </w:rPr>
    </w:lvl>
    <w:lvl w:ilvl="1" w:tplc="863627F6">
      <w:start w:val="1"/>
      <w:numFmt w:val="bullet"/>
      <w:lvlText w:val="o"/>
      <w:lvlJc w:val="left"/>
      <w:pPr>
        <w:ind w:left="1680" w:hanging="360"/>
      </w:pPr>
      <w:rPr>
        <w:rFonts w:ascii="Courier New" w:hAnsi="Courier New" w:cs="Courier New" w:hint="default"/>
      </w:rPr>
    </w:lvl>
    <w:lvl w:ilvl="2" w:tplc="4EA2EAF0">
      <w:start w:val="1"/>
      <w:numFmt w:val="bullet"/>
      <w:lvlText w:val=""/>
      <w:lvlJc w:val="left"/>
      <w:pPr>
        <w:ind w:left="2400" w:hanging="360"/>
      </w:pPr>
      <w:rPr>
        <w:rFonts w:ascii="Wingdings" w:hAnsi="Wingdings" w:hint="default"/>
      </w:rPr>
    </w:lvl>
    <w:lvl w:ilvl="3" w:tplc="A18296DE">
      <w:start w:val="1"/>
      <w:numFmt w:val="bullet"/>
      <w:lvlText w:val=""/>
      <w:lvlJc w:val="left"/>
      <w:pPr>
        <w:ind w:left="3120" w:hanging="360"/>
      </w:pPr>
      <w:rPr>
        <w:rFonts w:ascii="Symbol" w:hAnsi="Symbol" w:hint="default"/>
      </w:rPr>
    </w:lvl>
    <w:lvl w:ilvl="4" w:tplc="68BEDADC">
      <w:start w:val="1"/>
      <w:numFmt w:val="bullet"/>
      <w:lvlText w:val="o"/>
      <w:lvlJc w:val="left"/>
      <w:pPr>
        <w:ind w:left="3840" w:hanging="360"/>
      </w:pPr>
      <w:rPr>
        <w:rFonts w:ascii="Courier New" w:hAnsi="Courier New" w:cs="Courier New" w:hint="default"/>
      </w:rPr>
    </w:lvl>
    <w:lvl w:ilvl="5" w:tplc="DADE0FF4">
      <w:start w:val="1"/>
      <w:numFmt w:val="bullet"/>
      <w:lvlText w:val=""/>
      <w:lvlJc w:val="left"/>
      <w:pPr>
        <w:ind w:left="4560" w:hanging="360"/>
      </w:pPr>
      <w:rPr>
        <w:rFonts w:ascii="Wingdings" w:hAnsi="Wingdings" w:hint="default"/>
      </w:rPr>
    </w:lvl>
    <w:lvl w:ilvl="6" w:tplc="831C6104">
      <w:start w:val="1"/>
      <w:numFmt w:val="bullet"/>
      <w:lvlText w:val=""/>
      <w:lvlJc w:val="left"/>
      <w:pPr>
        <w:ind w:left="5280" w:hanging="360"/>
      </w:pPr>
      <w:rPr>
        <w:rFonts w:ascii="Symbol" w:hAnsi="Symbol" w:hint="default"/>
      </w:rPr>
    </w:lvl>
    <w:lvl w:ilvl="7" w:tplc="6054F3A4">
      <w:start w:val="1"/>
      <w:numFmt w:val="bullet"/>
      <w:lvlText w:val="o"/>
      <w:lvlJc w:val="left"/>
      <w:pPr>
        <w:ind w:left="6000" w:hanging="360"/>
      </w:pPr>
      <w:rPr>
        <w:rFonts w:ascii="Courier New" w:hAnsi="Courier New" w:cs="Courier New" w:hint="default"/>
      </w:rPr>
    </w:lvl>
    <w:lvl w:ilvl="8" w:tplc="7D688304">
      <w:start w:val="1"/>
      <w:numFmt w:val="bullet"/>
      <w:lvlText w:val=""/>
      <w:lvlJc w:val="left"/>
      <w:pPr>
        <w:ind w:left="6720" w:hanging="360"/>
      </w:pPr>
      <w:rPr>
        <w:rFonts w:ascii="Wingdings" w:hAnsi="Wingdings" w:hint="default"/>
      </w:rPr>
    </w:lvl>
  </w:abstractNum>
  <w:abstractNum w:abstractNumId="3" w15:restartNumberingAfterBreak="0">
    <w:nsid w:val="28F73DDE"/>
    <w:multiLevelType w:val="hybridMultilevel"/>
    <w:tmpl w:val="37620724"/>
    <w:lvl w:ilvl="0" w:tplc="4962BB2A">
      <w:start w:val="1"/>
      <w:numFmt w:val="bullet"/>
      <w:lvlText w:val="·"/>
      <w:lvlJc w:val="left"/>
      <w:pPr>
        <w:ind w:left="709" w:hanging="360"/>
      </w:pPr>
      <w:rPr>
        <w:rFonts w:ascii="Symbol" w:eastAsia="Symbol" w:hAnsi="Symbol" w:cs="Symbol" w:hint="default"/>
      </w:rPr>
    </w:lvl>
    <w:lvl w:ilvl="1" w:tplc="F424B210">
      <w:start w:val="1"/>
      <w:numFmt w:val="bullet"/>
      <w:lvlText w:val="o"/>
      <w:lvlJc w:val="left"/>
      <w:pPr>
        <w:ind w:left="1440" w:hanging="360"/>
      </w:pPr>
      <w:rPr>
        <w:rFonts w:ascii="Courier New" w:eastAsia="Courier New" w:hAnsi="Courier New" w:cs="Courier New" w:hint="default"/>
      </w:rPr>
    </w:lvl>
    <w:lvl w:ilvl="2" w:tplc="8DFC7450">
      <w:start w:val="1"/>
      <w:numFmt w:val="bullet"/>
      <w:lvlText w:val="§"/>
      <w:lvlJc w:val="left"/>
      <w:pPr>
        <w:ind w:left="2160" w:hanging="360"/>
      </w:pPr>
      <w:rPr>
        <w:rFonts w:ascii="Wingdings" w:eastAsia="Wingdings" w:hAnsi="Wingdings" w:cs="Wingdings" w:hint="default"/>
      </w:rPr>
    </w:lvl>
    <w:lvl w:ilvl="3" w:tplc="BD1A3418">
      <w:start w:val="1"/>
      <w:numFmt w:val="bullet"/>
      <w:lvlText w:val="·"/>
      <w:lvlJc w:val="left"/>
      <w:pPr>
        <w:ind w:left="2880" w:hanging="360"/>
      </w:pPr>
      <w:rPr>
        <w:rFonts w:ascii="Symbol" w:eastAsia="Symbol" w:hAnsi="Symbol" w:cs="Symbol" w:hint="default"/>
      </w:rPr>
    </w:lvl>
    <w:lvl w:ilvl="4" w:tplc="DE482C6E">
      <w:start w:val="1"/>
      <w:numFmt w:val="bullet"/>
      <w:lvlText w:val="o"/>
      <w:lvlJc w:val="left"/>
      <w:pPr>
        <w:ind w:left="3600" w:hanging="360"/>
      </w:pPr>
      <w:rPr>
        <w:rFonts w:ascii="Courier New" w:eastAsia="Courier New" w:hAnsi="Courier New" w:cs="Courier New" w:hint="default"/>
      </w:rPr>
    </w:lvl>
    <w:lvl w:ilvl="5" w:tplc="F1C49336">
      <w:start w:val="1"/>
      <w:numFmt w:val="bullet"/>
      <w:lvlText w:val="§"/>
      <w:lvlJc w:val="left"/>
      <w:pPr>
        <w:ind w:left="4320" w:hanging="360"/>
      </w:pPr>
      <w:rPr>
        <w:rFonts w:ascii="Wingdings" w:eastAsia="Wingdings" w:hAnsi="Wingdings" w:cs="Wingdings" w:hint="default"/>
      </w:rPr>
    </w:lvl>
    <w:lvl w:ilvl="6" w:tplc="08EA696A">
      <w:start w:val="1"/>
      <w:numFmt w:val="bullet"/>
      <w:lvlText w:val="·"/>
      <w:lvlJc w:val="left"/>
      <w:pPr>
        <w:ind w:left="5040" w:hanging="360"/>
      </w:pPr>
      <w:rPr>
        <w:rFonts w:ascii="Symbol" w:eastAsia="Symbol" w:hAnsi="Symbol" w:cs="Symbol" w:hint="default"/>
      </w:rPr>
    </w:lvl>
    <w:lvl w:ilvl="7" w:tplc="9D7AD276">
      <w:start w:val="1"/>
      <w:numFmt w:val="bullet"/>
      <w:lvlText w:val="o"/>
      <w:lvlJc w:val="left"/>
      <w:pPr>
        <w:ind w:left="5760" w:hanging="360"/>
      </w:pPr>
      <w:rPr>
        <w:rFonts w:ascii="Courier New" w:eastAsia="Courier New" w:hAnsi="Courier New" w:cs="Courier New" w:hint="default"/>
      </w:rPr>
    </w:lvl>
    <w:lvl w:ilvl="8" w:tplc="7AA0D6A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B436E19"/>
    <w:multiLevelType w:val="hybridMultilevel"/>
    <w:tmpl w:val="1F6E1F46"/>
    <w:lvl w:ilvl="0" w:tplc="1DDA77C4">
      <w:start w:val="1"/>
      <w:numFmt w:val="bullet"/>
      <w:lvlText w:val="·"/>
      <w:lvlJc w:val="left"/>
      <w:pPr>
        <w:ind w:left="709" w:hanging="360"/>
      </w:pPr>
      <w:rPr>
        <w:rFonts w:ascii="Symbol" w:eastAsia="Symbol" w:hAnsi="Symbol" w:cs="Symbol" w:hint="default"/>
      </w:rPr>
    </w:lvl>
    <w:lvl w:ilvl="1" w:tplc="1D0CD9BE">
      <w:start w:val="1"/>
      <w:numFmt w:val="bullet"/>
      <w:lvlText w:val="o"/>
      <w:lvlJc w:val="left"/>
      <w:pPr>
        <w:ind w:left="1429" w:hanging="360"/>
      </w:pPr>
      <w:rPr>
        <w:rFonts w:ascii="Courier New" w:eastAsia="Courier New" w:hAnsi="Courier New" w:cs="Courier New" w:hint="default"/>
      </w:rPr>
    </w:lvl>
    <w:lvl w:ilvl="2" w:tplc="0C488882">
      <w:start w:val="1"/>
      <w:numFmt w:val="bullet"/>
      <w:lvlText w:val="§"/>
      <w:lvlJc w:val="left"/>
      <w:pPr>
        <w:ind w:left="2149" w:hanging="360"/>
      </w:pPr>
      <w:rPr>
        <w:rFonts w:ascii="Wingdings" w:eastAsia="Wingdings" w:hAnsi="Wingdings" w:cs="Wingdings" w:hint="default"/>
      </w:rPr>
    </w:lvl>
    <w:lvl w:ilvl="3" w:tplc="6D7465A2">
      <w:start w:val="1"/>
      <w:numFmt w:val="bullet"/>
      <w:lvlText w:val="·"/>
      <w:lvlJc w:val="left"/>
      <w:pPr>
        <w:ind w:left="2869" w:hanging="360"/>
      </w:pPr>
      <w:rPr>
        <w:rFonts w:ascii="Symbol" w:eastAsia="Symbol" w:hAnsi="Symbol" w:cs="Symbol" w:hint="default"/>
      </w:rPr>
    </w:lvl>
    <w:lvl w:ilvl="4" w:tplc="578291A2">
      <w:start w:val="1"/>
      <w:numFmt w:val="bullet"/>
      <w:lvlText w:val="o"/>
      <w:lvlJc w:val="left"/>
      <w:pPr>
        <w:ind w:left="3589" w:hanging="360"/>
      </w:pPr>
      <w:rPr>
        <w:rFonts w:ascii="Courier New" w:eastAsia="Courier New" w:hAnsi="Courier New" w:cs="Courier New" w:hint="default"/>
      </w:rPr>
    </w:lvl>
    <w:lvl w:ilvl="5" w:tplc="6BE6F24A">
      <w:start w:val="1"/>
      <w:numFmt w:val="bullet"/>
      <w:lvlText w:val="§"/>
      <w:lvlJc w:val="left"/>
      <w:pPr>
        <w:ind w:left="4309" w:hanging="360"/>
      </w:pPr>
      <w:rPr>
        <w:rFonts w:ascii="Wingdings" w:eastAsia="Wingdings" w:hAnsi="Wingdings" w:cs="Wingdings" w:hint="default"/>
      </w:rPr>
    </w:lvl>
    <w:lvl w:ilvl="6" w:tplc="9CA27D94">
      <w:start w:val="1"/>
      <w:numFmt w:val="bullet"/>
      <w:lvlText w:val="·"/>
      <w:lvlJc w:val="left"/>
      <w:pPr>
        <w:ind w:left="5029" w:hanging="360"/>
      </w:pPr>
      <w:rPr>
        <w:rFonts w:ascii="Symbol" w:eastAsia="Symbol" w:hAnsi="Symbol" w:cs="Symbol" w:hint="default"/>
      </w:rPr>
    </w:lvl>
    <w:lvl w:ilvl="7" w:tplc="FF6C7AF8">
      <w:start w:val="1"/>
      <w:numFmt w:val="bullet"/>
      <w:lvlText w:val="o"/>
      <w:lvlJc w:val="left"/>
      <w:pPr>
        <w:ind w:left="5749" w:hanging="360"/>
      </w:pPr>
      <w:rPr>
        <w:rFonts w:ascii="Courier New" w:eastAsia="Courier New" w:hAnsi="Courier New" w:cs="Courier New" w:hint="default"/>
      </w:rPr>
    </w:lvl>
    <w:lvl w:ilvl="8" w:tplc="EB38706E">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2F410F63"/>
    <w:multiLevelType w:val="hybridMultilevel"/>
    <w:tmpl w:val="EE68D3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FD122D"/>
    <w:multiLevelType w:val="hybridMultilevel"/>
    <w:tmpl w:val="DA6ACC0C"/>
    <w:lvl w:ilvl="0" w:tplc="72FCAA52">
      <w:start w:val="1"/>
      <w:numFmt w:val="bullet"/>
      <w:lvlText w:val="·"/>
      <w:lvlJc w:val="left"/>
      <w:pPr>
        <w:ind w:left="709" w:hanging="360"/>
      </w:pPr>
      <w:rPr>
        <w:rFonts w:ascii="Symbol" w:eastAsia="Symbol" w:hAnsi="Symbol" w:cs="Symbol" w:hint="default"/>
      </w:rPr>
    </w:lvl>
    <w:lvl w:ilvl="1" w:tplc="B366EC3E">
      <w:start w:val="1"/>
      <w:numFmt w:val="bullet"/>
      <w:lvlText w:val="o"/>
      <w:lvlJc w:val="left"/>
      <w:pPr>
        <w:ind w:left="1429" w:hanging="360"/>
      </w:pPr>
      <w:rPr>
        <w:rFonts w:ascii="Courier New" w:eastAsia="Courier New" w:hAnsi="Courier New" w:cs="Courier New" w:hint="default"/>
      </w:rPr>
    </w:lvl>
    <w:lvl w:ilvl="2" w:tplc="8F80CDF2">
      <w:start w:val="1"/>
      <w:numFmt w:val="bullet"/>
      <w:lvlText w:val="§"/>
      <w:lvlJc w:val="left"/>
      <w:pPr>
        <w:ind w:left="2149" w:hanging="360"/>
      </w:pPr>
      <w:rPr>
        <w:rFonts w:ascii="Wingdings" w:eastAsia="Wingdings" w:hAnsi="Wingdings" w:cs="Wingdings" w:hint="default"/>
      </w:rPr>
    </w:lvl>
    <w:lvl w:ilvl="3" w:tplc="46D6D0B4">
      <w:start w:val="1"/>
      <w:numFmt w:val="bullet"/>
      <w:lvlText w:val="·"/>
      <w:lvlJc w:val="left"/>
      <w:pPr>
        <w:ind w:left="2869" w:hanging="360"/>
      </w:pPr>
      <w:rPr>
        <w:rFonts w:ascii="Symbol" w:eastAsia="Symbol" w:hAnsi="Symbol" w:cs="Symbol" w:hint="default"/>
      </w:rPr>
    </w:lvl>
    <w:lvl w:ilvl="4" w:tplc="2D2EBAA6">
      <w:start w:val="1"/>
      <w:numFmt w:val="bullet"/>
      <w:lvlText w:val="o"/>
      <w:lvlJc w:val="left"/>
      <w:pPr>
        <w:ind w:left="3589" w:hanging="360"/>
      </w:pPr>
      <w:rPr>
        <w:rFonts w:ascii="Courier New" w:eastAsia="Courier New" w:hAnsi="Courier New" w:cs="Courier New" w:hint="default"/>
      </w:rPr>
    </w:lvl>
    <w:lvl w:ilvl="5" w:tplc="15585898">
      <w:start w:val="1"/>
      <w:numFmt w:val="bullet"/>
      <w:lvlText w:val="§"/>
      <w:lvlJc w:val="left"/>
      <w:pPr>
        <w:ind w:left="4309" w:hanging="360"/>
      </w:pPr>
      <w:rPr>
        <w:rFonts w:ascii="Wingdings" w:eastAsia="Wingdings" w:hAnsi="Wingdings" w:cs="Wingdings" w:hint="default"/>
      </w:rPr>
    </w:lvl>
    <w:lvl w:ilvl="6" w:tplc="2548BFB8">
      <w:start w:val="1"/>
      <w:numFmt w:val="bullet"/>
      <w:lvlText w:val="·"/>
      <w:lvlJc w:val="left"/>
      <w:pPr>
        <w:ind w:left="5029" w:hanging="360"/>
      </w:pPr>
      <w:rPr>
        <w:rFonts w:ascii="Symbol" w:eastAsia="Symbol" w:hAnsi="Symbol" w:cs="Symbol" w:hint="default"/>
      </w:rPr>
    </w:lvl>
    <w:lvl w:ilvl="7" w:tplc="6C323CB6">
      <w:start w:val="1"/>
      <w:numFmt w:val="bullet"/>
      <w:lvlText w:val="o"/>
      <w:lvlJc w:val="left"/>
      <w:pPr>
        <w:ind w:left="5749" w:hanging="360"/>
      </w:pPr>
      <w:rPr>
        <w:rFonts w:ascii="Courier New" w:eastAsia="Courier New" w:hAnsi="Courier New" w:cs="Courier New" w:hint="default"/>
      </w:rPr>
    </w:lvl>
    <w:lvl w:ilvl="8" w:tplc="8FC4CC82">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407B6E2F"/>
    <w:multiLevelType w:val="hybridMultilevel"/>
    <w:tmpl w:val="89A026B4"/>
    <w:lvl w:ilvl="0" w:tplc="398E486C">
      <w:start w:val="1"/>
      <w:numFmt w:val="bullet"/>
      <w:lvlText w:val="·"/>
      <w:lvlJc w:val="left"/>
      <w:pPr>
        <w:ind w:left="709" w:hanging="360"/>
      </w:pPr>
      <w:rPr>
        <w:rFonts w:ascii="Symbol" w:eastAsia="Symbol" w:hAnsi="Symbol" w:cs="Symbol" w:hint="default"/>
      </w:rPr>
    </w:lvl>
    <w:lvl w:ilvl="1" w:tplc="DDA48C72">
      <w:start w:val="1"/>
      <w:numFmt w:val="bullet"/>
      <w:lvlText w:val="o"/>
      <w:lvlJc w:val="left"/>
      <w:pPr>
        <w:ind w:left="1440" w:hanging="360"/>
      </w:pPr>
      <w:rPr>
        <w:rFonts w:ascii="Courier New" w:eastAsia="Courier New" w:hAnsi="Courier New" w:cs="Courier New" w:hint="default"/>
      </w:rPr>
    </w:lvl>
    <w:lvl w:ilvl="2" w:tplc="9A08A1E4">
      <w:start w:val="1"/>
      <w:numFmt w:val="bullet"/>
      <w:lvlText w:val="§"/>
      <w:lvlJc w:val="left"/>
      <w:pPr>
        <w:ind w:left="2160" w:hanging="360"/>
      </w:pPr>
      <w:rPr>
        <w:rFonts w:ascii="Wingdings" w:eastAsia="Wingdings" w:hAnsi="Wingdings" w:cs="Wingdings" w:hint="default"/>
      </w:rPr>
    </w:lvl>
    <w:lvl w:ilvl="3" w:tplc="3488CEAC">
      <w:start w:val="1"/>
      <w:numFmt w:val="bullet"/>
      <w:lvlText w:val="·"/>
      <w:lvlJc w:val="left"/>
      <w:pPr>
        <w:ind w:left="2880" w:hanging="360"/>
      </w:pPr>
      <w:rPr>
        <w:rFonts w:ascii="Symbol" w:eastAsia="Symbol" w:hAnsi="Symbol" w:cs="Symbol" w:hint="default"/>
      </w:rPr>
    </w:lvl>
    <w:lvl w:ilvl="4" w:tplc="4C18A6FC">
      <w:start w:val="1"/>
      <w:numFmt w:val="bullet"/>
      <w:lvlText w:val="o"/>
      <w:lvlJc w:val="left"/>
      <w:pPr>
        <w:ind w:left="3600" w:hanging="360"/>
      </w:pPr>
      <w:rPr>
        <w:rFonts w:ascii="Courier New" w:eastAsia="Courier New" w:hAnsi="Courier New" w:cs="Courier New" w:hint="default"/>
      </w:rPr>
    </w:lvl>
    <w:lvl w:ilvl="5" w:tplc="9C5CE0A0">
      <w:start w:val="1"/>
      <w:numFmt w:val="bullet"/>
      <w:lvlText w:val="§"/>
      <w:lvlJc w:val="left"/>
      <w:pPr>
        <w:ind w:left="4320" w:hanging="360"/>
      </w:pPr>
      <w:rPr>
        <w:rFonts w:ascii="Wingdings" w:eastAsia="Wingdings" w:hAnsi="Wingdings" w:cs="Wingdings" w:hint="default"/>
      </w:rPr>
    </w:lvl>
    <w:lvl w:ilvl="6" w:tplc="FF8ADEF6">
      <w:start w:val="1"/>
      <w:numFmt w:val="bullet"/>
      <w:lvlText w:val="·"/>
      <w:lvlJc w:val="left"/>
      <w:pPr>
        <w:ind w:left="5040" w:hanging="360"/>
      </w:pPr>
      <w:rPr>
        <w:rFonts w:ascii="Symbol" w:eastAsia="Symbol" w:hAnsi="Symbol" w:cs="Symbol" w:hint="default"/>
      </w:rPr>
    </w:lvl>
    <w:lvl w:ilvl="7" w:tplc="258480C8">
      <w:start w:val="1"/>
      <w:numFmt w:val="bullet"/>
      <w:lvlText w:val="o"/>
      <w:lvlJc w:val="left"/>
      <w:pPr>
        <w:ind w:left="5760" w:hanging="360"/>
      </w:pPr>
      <w:rPr>
        <w:rFonts w:ascii="Courier New" w:eastAsia="Courier New" w:hAnsi="Courier New" w:cs="Courier New" w:hint="default"/>
      </w:rPr>
    </w:lvl>
    <w:lvl w:ilvl="8" w:tplc="1DEC6F9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D002175"/>
    <w:multiLevelType w:val="hybridMultilevel"/>
    <w:tmpl w:val="916A01D4"/>
    <w:lvl w:ilvl="0" w:tplc="7EA63490">
      <w:start w:val="1"/>
      <w:numFmt w:val="bullet"/>
      <w:lvlText w:val="·"/>
      <w:lvlJc w:val="left"/>
      <w:pPr>
        <w:ind w:left="709" w:hanging="360"/>
      </w:pPr>
      <w:rPr>
        <w:rFonts w:ascii="Symbol" w:eastAsia="Symbol" w:hAnsi="Symbol" w:cs="Symbol" w:hint="default"/>
      </w:rPr>
    </w:lvl>
    <w:lvl w:ilvl="1" w:tplc="D65C43FE">
      <w:start w:val="1"/>
      <w:numFmt w:val="bullet"/>
      <w:lvlText w:val="o"/>
      <w:lvlJc w:val="left"/>
      <w:pPr>
        <w:ind w:left="1440" w:hanging="360"/>
      </w:pPr>
      <w:rPr>
        <w:rFonts w:ascii="Courier New" w:eastAsia="Courier New" w:hAnsi="Courier New" w:cs="Courier New" w:hint="default"/>
      </w:rPr>
    </w:lvl>
    <w:lvl w:ilvl="2" w:tplc="D2FC82FE">
      <w:start w:val="1"/>
      <w:numFmt w:val="bullet"/>
      <w:lvlText w:val="§"/>
      <w:lvlJc w:val="left"/>
      <w:pPr>
        <w:ind w:left="2160" w:hanging="360"/>
      </w:pPr>
      <w:rPr>
        <w:rFonts w:ascii="Wingdings" w:eastAsia="Wingdings" w:hAnsi="Wingdings" w:cs="Wingdings" w:hint="default"/>
      </w:rPr>
    </w:lvl>
    <w:lvl w:ilvl="3" w:tplc="D934523C">
      <w:start w:val="1"/>
      <w:numFmt w:val="bullet"/>
      <w:lvlText w:val="·"/>
      <w:lvlJc w:val="left"/>
      <w:pPr>
        <w:ind w:left="2880" w:hanging="360"/>
      </w:pPr>
      <w:rPr>
        <w:rFonts w:ascii="Symbol" w:eastAsia="Symbol" w:hAnsi="Symbol" w:cs="Symbol" w:hint="default"/>
      </w:rPr>
    </w:lvl>
    <w:lvl w:ilvl="4" w:tplc="37868DC8">
      <w:start w:val="1"/>
      <w:numFmt w:val="bullet"/>
      <w:lvlText w:val="o"/>
      <w:lvlJc w:val="left"/>
      <w:pPr>
        <w:ind w:left="3600" w:hanging="360"/>
      </w:pPr>
      <w:rPr>
        <w:rFonts w:ascii="Courier New" w:eastAsia="Courier New" w:hAnsi="Courier New" w:cs="Courier New" w:hint="default"/>
      </w:rPr>
    </w:lvl>
    <w:lvl w:ilvl="5" w:tplc="B86E08A8">
      <w:start w:val="1"/>
      <w:numFmt w:val="bullet"/>
      <w:lvlText w:val="§"/>
      <w:lvlJc w:val="left"/>
      <w:pPr>
        <w:ind w:left="4320" w:hanging="360"/>
      </w:pPr>
      <w:rPr>
        <w:rFonts w:ascii="Wingdings" w:eastAsia="Wingdings" w:hAnsi="Wingdings" w:cs="Wingdings" w:hint="default"/>
      </w:rPr>
    </w:lvl>
    <w:lvl w:ilvl="6" w:tplc="8F346192">
      <w:start w:val="1"/>
      <w:numFmt w:val="bullet"/>
      <w:lvlText w:val="·"/>
      <w:lvlJc w:val="left"/>
      <w:pPr>
        <w:ind w:left="5040" w:hanging="360"/>
      </w:pPr>
      <w:rPr>
        <w:rFonts w:ascii="Symbol" w:eastAsia="Symbol" w:hAnsi="Symbol" w:cs="Symbol" w:hint="default"/>
      </w:rPr>
    </w:lvl>
    <w:lvl w:ilvl="7" w:tplc="A4BC4BE6">
      <w:start w:val="1"/>
      <w:numFmt w:val="bullet"/>
      <w:lvlText w:val="o"/>
      <w:lvlJc w:val="left"/>
      <w:pPr>
        <w:ind w:left="5760" w:hanging="360"/>
      </w:pPr>
      <w:rPr>
        <w:rFonts w:ascii="Courier New" w:eastAsia="Courier New" w:hAnsi="Courier New" w:cs="Courier New" w:hint="default"/>
      </w:rPr>
    </w:lvl>
    <w:lvl w:ilvl="8" w:tplc="188612C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07C45C9"/>
    <w:multiLevelType w:val="hybridMultilevel"/>
    <w:tmpl w:val="FFE46FA8"/>
    <w:lvl w:ilvl="0" w:tplc="023AACD2">
      <w:start w:val="1"/>
      <w:numFmt w:val="bullet"/>
      <w:lvlText w:val="·"/>
      <w:lvlJc w:val="left"/>
      <w:pPr>
        <w:ind w:left="720" w:hanging="360"/>
      </w:pPr>
      <w:rPr>
        <w:rFonts w:ascii="Symbol" w:eastAsia="Symbol" w:hAnsi="Symbol" w:cs="Symbol" w:hint="default"/>
      </w:rPr>
    </w:lvl>
    <w:lvl w:ilvl="1" w:tplc="A9746A36">
      <w:start w:val="1"/>
      <w:numFmt w:val="bullet"/>
      <w:lvlText w:val="o"/>
      <w:lvlJc w:val="left"/>
      <w:pPr>
        <w:ind w:left="1440" w:hanging="360"/>
      </w:pPr>
      <w:rPr>
        <w:rFonts w:ascii="Courier New" w:eastAsia="Courier New" w:hAnsi="Courier New" w:cs="Courier New" w:hint="default"/>
      </w:rPr>
    </w:lvl>
    <w:lvl w:ilvl="2" w:tplc="12582458">
      <w:start w:val="1"/>
      <w:numFmt w:val="bullet"/>
      <w:lvlText w:val="§"/>
      <w:lvlJc w:val="left"/>
      <w:pPr>
        <w:ind w:left="2160" w:hanging="360"/>
      </w:pPr>
      <w:rPr>
        <w:rFonts w:ascii="Wingdings" w:eastAsia="Wingdings" w:hAnsi="Wingdings" w:cs="Wingdings" w:hint="default"/>
      </w:rPr>
    </w:lvl>
    <w:lvl w:ilvl="3" w:tplc="A2402020">
      <w:start w:val="1"/>
      <w:numFmt w:val="bullet"/>
      <w:lvlText w:val="·"/>
      <w:lvlJc w:val="left"/>
      <w:pPr>
        <w:ind w:left="2880" w:hanging="360"/>
      </w:pPr>
      <w:rPr>
        <w:rFonts w:ascii="Symbol" w:eastAsia="Symbol" w:hAnsi="Symbol" w:cs="Symbol" w:hint="default"/>
      </w:rPr>
    </w:lvl>
    <w:lvl w:ilvl="4" w:tplc="B32406A2">
      <w:start w:val="1"/>
      <w:numFmt w:val="bullet"/>
      <w:lvlText w:val="o"/>
      <w:lvlJc w:val="left"/>
      <w:pPr>
        <w:ind w:left="3600" w:hanging="360"/>
      </w:pPr>
      <w:rPr>
        <w:rFonts w:ascii="Courier New" w:eastAsia="Courier New" w:hAnsi="Courier New" w:cs="Courier New" w:hint="default"/>
      </w:rPr>
    </w:lvl>
    <w:lvl w:ilvl="5" w:tplc="F67A2E36">
      <w:start w:val="1"/>
      <w:numFmt w:val="bullet"/>
      <w:lvlText w:val="§"/>
      <w:lvlJc w:val="left"/>
      <w:pPr>
        <w:ind w:left="4320" w:hanging="360"/>
      </w:pPr>
      <w:rPr>
        <w:rFonts w:ascii="Wingdings" w:eastAsia="Wingdings" w:hAnsi="Wingdings" w:cs="Wingdings" w:hint="default"/>
      </w:rPr>
    </w:lvl>
    <w:lvl w:ilvl="6" w:tplc="13284E4C">
      <w:start w:val="1"/>
      <w:numFmt w:val="bullet"/>
      <w:lvlText w:val="·"/>
      <w:lvlJc w:val="left"/>
      <w:pPr>
        <w:ind w:left="5040" w:hanging="360"/>
      </w:pPr>
      <w:rPr>
        <w:rFonts w:ascii="Symbol" w:eastAsia="Symbol" w:hAnsi="Symbol" w:cs="Symbol" w:hint="default"/>
      </w:rPr>
    </w:lvl>
    <w:lvl w:ilvl="7" w:tplc="353EEF32">
      <w:start w:val="1"/>
      <w:numFmt w:val="bullet"/>
      <w:lvlText w:val="o"/>
      <w:lvlJc w:val="left"/>
      <w:pPr>
        <w:ind w:left="5760" w:hanging="360"/>
      </w:pPr>
      <w:rPr>
        <w:rFonts w:ascii="Courier New" w:eastAsia="Courier New" w:hAnsi="Courier New" w:cs="Courier New" w:hint="default"/>
      </w:rPr>
    </w:lvl>
    <w:lvl w:ilvl="8" w:tplc="D264F4A6">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3"/>
  </w:num>
  <w:num w:numId="3">
    <w:abstractNumId w:val="7"/>
  </w:num>
  <w:num w:numId="4">
    <w:abstractNumId w:val="4"/>
  </w:num>
  <w:num w:numId="5">
    <w:abstractNumId w:val="8"/>
  </w:num>
  <w:num w:numId="6">
    <w:abstractNumId w:val="6"/>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63"/>
    <w:rsid w:val="00120994"/>
    <w:rsid w:val="001F2395"/>
    <w:rsid w:val="002B2797"/>
    <w:rsid w:val="002B7C74"/>
    <w:rsid w:val="002F59E4"/>
    <w:rsid w:val="003378E9"/>
    <w:rsid w:val="00340FE9"/>
    <w:rsid w:val="004F290F"/>
    <w:rsid w:val="005828E5"/>
    <w:rsid w:val="00646E67"/>
    <w:rsid w:val="006C748E"/>
    <w:rsid w:val="00735680"/>
    <w:rsid w:val="00737E6C"/>
    <w:rsid w:val="00864E63"/>
    <w:rsid w:val="008D6388"/>
    <w:rsid w:val="008E07A3"/>
    <w:rsid w:val="00917980"/>
    <w:rsid w:val="00A204AF"/>
    <w:rsid w:val="00A9198A"/>
    <w:rsid w:val="00AA1601"/>
    <w:rsid w:val="00AE6E78"/>
    <w:rsid w:val="00B55F63"/>
    <w:rsid w:val="00BD3EFF"/>
    <w:rsid w:val="00C81A3A"/>
    <w:rsid w:val="00CA1C9F"/>
    <w:rsid w:val="00D1384B"/>
    <w:rsid w:val="00DF0831"/>
    <w:rsid w:val="00E27BE3"/>
    <w:rsid w:val="00EF5F18"/>
    <w:rsid w:val="00F70A86"/>
    <w:rsid w:val="00FD0819"/>
    <w:rsid w:val="00F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3874E"/>
  <w15:docId w15:val="{D6C46823-6EA8-4492-A885-BB1A870A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59E4"/>
    <w:pPr>
      <w:spacing w:after="0" w:line="240" w:lineRule="auto"/>
    </w:pPr>
    <w:rPr>
      <w:rFonts w:ascii="Source Sans 3" w:hAnsi="Source Sans 3"/>
    </w:rPr>
  </w:style>
  <w:style w:type="paragraph" w:styleId="berschrift1">
    <w:name w:val="heading 1"/>
    <w:basedOn w:val="Standard"/>
    <w:next w:val="Standard"/>
    <w:link w:val="berschrift1Zchn"/>
    <w:uiPriority w:val="9"/>
    <w:qFormat/>
    <w:rsid w:val="00DF0831"/>
    <w:pPr>
      <w:keepNext/>
      <w:keepLines/>
      <w:spacing w:before="240" w:after="240"/>
      <w:outlineLvl w:val="0"/>
    </w:pPr>
    <w:rPr>
      <w:rFonts w:eastAsia="Arial" w:cs="Arial"/>
      <w:b/>
      <w:sz w:val="32"/>
      <w:szCs w:val="40"/>
    </w:rPr>
  </w:style>
  <w:style w:type="paragraph" w:styleId="berschrift2">
    <w:name w:val="heading 2"/>
    <w:basedOn w:val="Standard"/>
    <w:next w:val="Standard"/>
    <w:link w:val="berschrift2Zchn"/>
    <w:uiPriority w:val="9"/>
    <w:unhideWhenUsed/>
    <w:qFormat/>
    <w:rsid w:val="00DF0831"/>
    <w:pPr>
      <w:pBdr>
        <w:top w:val="none" w:sz="4" w:space="0" w:color="000000"/>
        <w:left w:val="none" w:sz="4" w:space="0" w:color="000000"/>
        <w:bottom w:val="none" w:sz="4" w:space="0" w:color="000000"/>
        <w:right w:val="none" w:sz="4" w:space="0" w:color="000000"/>
      </w:pBdr>
      <w:outlineLvl w:val="1"/>
    </w:pPr>
    <w:rPr>
      <w:rFonts w:eastAsia="Arial" w:cs="Arial"/>
      <w:b/>
      <w:sz w:val="28"/>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sid w:val="00DF0831"/>
    <w:rPr>
      <w:rFonts w:ascii="Source Sans 3" w:eastAsia="Arial" w:hAnsi="Source Sans 3" w:cs="Arial"/>
      <w:b/>
      <w:sz w:val="32"/>
      <w:szCs w:val="40"/>
    </w:rPr>
  </w:style>
  <w:style w:type="character" w:customStyle="1" w:styleId="berschrift2Zchn">
    <w:name w:val="Überschrift 2 Zchn"/>
    <w:link w:val="berschrift2"/>
    <w:uiPriority w:val="9"/>
    <w:rsid w:val="00DF0831"/>
    <w:rPr>
      <w:rFonts w:ascii="Source Sans 3" w:eastAsia="Arial" w:hAnsi="Source Sans 3" w:cs="Arial"/>
      <w:b/>
      <w:sz w:val="28"/>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einLeerraum">
    <w:name w:val="No Spacing"/>
    <w:basedOn w:val="Standard"/>
    <w:uiPriority w:val="1"/>
    <w:qFormat/>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insideV w:val="none" w:sz="4" w:space="0" w:color="000000"/>
        </w:tcBorders>
        <w:shd w:val="clear" w:color="auto" w:fill="A5A5A5"/>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cPr>
    </w:tblStylePr>
    <w:tblStylePr w:type="lastRow">
      <w:rPr>
        <w:b/>
        <w:bCs/>
      </w:rPr>
      <w:tblPr/>
      <w:tcPr>
        <w:tcBorders>
          <w:top w:val="single" w:sz="4" w:space="0" w:color="A5A5A5" w:themeColor="accent3"/>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A5A5A5" w:themeColor="accent3"/>
          <w:left w:val="none" w:sz="4" w:space="0" w:color="000000"/>
        </w:tcBorders>
      </w:tcPr>
    </w:tblStylePr>
    <w:tblStylePr w:type="swCell">
      <w:tblPr/>
      <w:tcPr>
        <w:tcBorders>
          <w:top w:val="single" w:sz="4" w:space="0" w:color="A5A5A5" w:themeColor="accent3"/>
          <w:right w:val="none" w:sz="4" w:space="0" w:color="000000"/>
        </w:tcBorders>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tcBorders>
        <w:shd w:val="clear" w:color="auto" w:fill="A5A5A5"/>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Fett">
    <w:name w:val="Strong"/>
    <w:basedOn w:val="Absatz-Standardschriftart"/>
    <w:uiPriority w:val="22"/>
    <w:qFormat/>
    <w:rPr>
      <w:b/>
      <w:bCs/>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73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2751">
      <w:bodyDiv w:val="1"/>
      <w:marLeft w:val="0"/>
      <w:marRight w:val="0"/>
      <w:marTop w:val="0"/>
      <w:marBottom w:val="0"/>
      <w:divBdr>
        <w:top w:val="none" w:sz="0" w:space="0" w:color="auto"/>
        <w:left w:val="none" w:sz="0" w:space="0" w:color="auto"/>
        <w:bottom w:val="none" w:sz="0" w:space="0" w:color="auto"/>
        <w:right w:val="none" w:sz="0" w:space="0" w:color="auto"/>
      </w:divBdr>
    </w:div>
    <w:div w:id="13800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pb.de/themen/islamismus/dossier-islamismus/36365/hamas-und-palaestinensischer-islamischer-jihad/" TargetMode="External"/><Relationship Id="rId18" Type="http://schemas.openxmlformats.org/officeDocument/2006/relationships/image" Target="media/image4.png"/><Relationship Id="rId26" Type="http://schemas.openxmlformats.org/officeDocument/2006/relationships/hyperlink" Target="https://www.bag-relex.de/wissen/extremismus"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hyperlink" Target="https://www.ufuq.de/aktuelles/der-nahostkonflikt-im-unterricht-50-handlungsmoeglichkeiten-fuer-lehrerinnen/"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df.de/nachrichten/politik/ausland/hamas-radikale-palaestinenser-gruppe-100.html" TargetMode="External"/><Relationship Id="rId24" Type="http://schemas.openxmlformats.org/officeDocument/2006/relationships/hyperlink" Target="https://www.bag-relex.de/wissen/islamismuspraevention/" TargetMode="External"/><Relationship Id="rId32" Type="http://schemas.openxmlformats.org/officeDocument/2006/relationships/hyperlink" Target="https://www.ufuq.de/publikation/nahostkonflikt-schule/" TargetMode="External"/><Relationship Id="rId37" Type="http://schemas.openxmlformats.org/officeDocument/2006/relationships/image" Target="media/image14.png"/><Relationship Id="rId40" Type="http://schemas.openxmlformats.org/officeDocument/2006/relationships/hyperlink" Target="https://hass-im-netz.gmk-net.de/2-haltung-von-lernenden-lehrende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pb-bw.de/nahostkonflikt" TargetMode="External"/><Relationship Id="rId23" Type="http://schemas.openxmlformats.org/officeDocument/2006/relationships/hyperlink" Target="https://www.youtube.com/watch?v=YB46yA7ken0" TargetMode="External"/><Relationship Id="rId28" Type="http://schemas.openxmlformats.org/officeDocument/2006/relationships/hyperlink" Target="https://www.amadeu-antonio-stiftung.de/antisemitismus/was-ist-antisemitismus/" TargetMode="External"/><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bmi.bund.de/DE/themen/sicherheit/extremismus/vereinsverbote/vereinsverbote-node" TargetMode="External"/><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youtube.com/watch?v=YB46yA7ken0" TargetMode="External"/><Relationship Id="rId27" Type="http://schemas.openxmlformats.org/officeDocument/2006/relationships/image" Target="media/image8.png"/><Relationship Id="rId30" Type="http://schemas.openxmlformats.org/officeDocument/2006/relationships/hyperlink" Target="https://www.bpb.de/themen/antisemitismus/dossier-antisemitismus/" TargetMode="External"/><Relationship Id="rId35" Type="http://schemas.openxmlformats.org/officeDocument/2006/relationships/image" Target="media/image12.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to.de/recht/hintergruende/h/ovg-bremen-1b16324-palaestina-demonstration-versammlung-parole-from-the-river-to-the-sea/" TargetMode="Externa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yperlink" Target="https://www.kleinerfuenf.de/gespraechstips-und-argumentationsleitfaeden" TargetMode="External"/><Relationship Id="rId20" Type="http://schemas.openxmlformats.org/officeDocument/2006/relationships/image" Target="media/image5.png"/><Relationship Id="rId41" Type="http://schemas.openxmlformats.org/officeDocument/2006/relationships/hyperlink" Target="https://hass-im-netz.gmk-net.de/kompa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E978B58-A20E-454F-8B50-6D99E8912745}">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10286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Carolin Rössler</cp:lastModifiedBy>
  <cp:revision>56</cp:revision>
  <cp:lastPrinted>2024-05-24T13:13:00Z</cp:lastPrinted>
  <dcterms:created xsi:type="dcterms:W3CDTF">2024-04-25T10:14:00Z</dcterms:created>
  <dcterms:modified xsi:type="dcterms:W3CDTF">2024-12-05T13:28:00Z</dcterms:modified>
</cp:coreProperties>
</file>